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291A0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>Smlouva o zemědělském pachtu</w:t>
      </w:r>
    </w:p>
    <w:p w14:paraId="6A09A4C7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>uzavřená dle § 23</w:t>
      </w:r>
      <w:r w:rsidR="00106478" w:rsidRPr="00106478">
        <w:rPr>
          <w:rFonts w:asciiTheme="minorHAnsi" w:hAnsiTheme="minorHAnsi"/>
          <w:b/>
          <w:bCs/>
          <w:sz w:val="24"/>
          <w:szCs w:val="24"/>
        </w:rPr>
        <w:t>32</w:t>
      </w:r>
      <w:r w:rsidRPr="00106478">
        <w:rPr>
          <w:rFonts w:asciiTheme="minorHAnsi" w:hAnsiTheme="minorHAnsi"/>
          <w:b/>
          <w:bCs/>
          <w:sz w:val="24"/>
          <w:szCs w:val="24"/>
        </w:rPr>
        <w:t xml:space="preserve"> a násl. zákona č. 89/2012 Sb., občanského zákoníku, </w:t>
      </w:r>
    </w:p>
    <w:p w14:paraId="0F0357AA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v aktuálním znění (dále jen „občanský zákoník“) </w:t>
      </w:r>
    </w:p>
    <w:p w14:paraId="0E46C16B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4B76E33D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06478">
        <w:rPr>
          <w:rFonts w:asciiTheme="minorHAnsi" w:hAnsiTheme="minorHAnsi"/>
          <w:b/>
          <w:sz w:val="24"/>
          <w:szCs w:val="24"/>
        </w:rPr>
        <w:t xml:space="preserve">I. </w:t>
      </w:r>
    </w:p>
    <w:p w14:paraId="2AF86BEF" w14:textId="2F810DB5" w:rsidR="003B00DE" w:rsidRPr="00106478" w:rsidRDefault="003B00DE" w:rsidP="003B00DE">
      <w:pPr>
        <w:spacing w:after="0" w:line="240" w:lineRule="auto"/>
        <w:ind w:left="1416" w:firstLine="708"/>
        <w:contextualSpacing/>
        <w:rPr>
          <w:rFonts w:asciiTheme="minorHAnsi" w:hAnsiTheme="minorHAnsi"/>
          <w:b/>
          <w:sz w:val="24"/>
          <w:szCs w:val="24"/>
        </w:rPr>
      </w:pPr>
      <w:r w:rsidRPr="00106478">
        <w:rPr>
          <w:rFonts w:asciiTheme="minorHAnsi" w:hAnsiTheme="minorHAnsi"/>
          <w:b/>
          <w:sz w:val="24"/>
          <w:szCs w:val="24"/>
        </w:rPr>
        <w:t xml:space="preserve">Obec </w:t>
      </w:r>
      <w:r w:rsidR="00C835DC">
        <w:rPr>
          <w:rFonts w:asciiTheme="minorHAnsi" w:hAnsiTheme="minorHAnsi"/>
          <w:b/>
          <w:sz w:val="24"/>
          <w:szCs w:val="24"/>
        </w:rPr>
        <w:t>Netřebice</w:t>
      </w:r>
    </w:p>
    <w:p w14:paraId="17518253" w14:textId="3A964429" w:rsidR="003B00DE" w:rsidRPr="00106478" w:rsidRDefault="003B00DE" w:rsidP="003B00D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Se sídlem: </w:t>
      </w:r>
      <w:r w:rsidRPr="00106478">
        <w:rPr>
          <w:rFonts w:asciiTheme="minorHAnsi" w:hAnsiTheme="minorHAnsi"/>
          <w:sz w:val="24"/>
          <w:szCs w:val="24"/>
        </w:rPr>
        <w:tab/>
      </w:r>
      <w:r w:rsidRPr="00106478">
        <w:rPr>
          <w:rFonts w:asciiTheme="minorHAnsi" w:hAnsiTheme="minorHAnsi"/>
          <w:sz w:val="24"/>
          <w:szCs w:val="24"/>
        </w:rPr>
        <w:tab/>
      </w:r>
      <w:r w:rsidR="001E38BB">
        <w:rPr>
          <w:rFonts w:asciiTheme="minorHAnsi" w:hAnsiTheme="minorHAnsi"/>
          <w:sz w:val="24"/>
          <w:szCs w:val="24"/>
        </w:rPr>
        <w:t>Netřebice</w:t>
      </w:r>
      <w:r w:rsidR="00106478" w:rsidRPr="00106478">
        <w:rPr>
          <w:rFonts w:asciiTheme="minorHAnsi" w:hAnsiTheme="minorHAnsi"/>
          <w:sz w:val="24"/>
          <w:szCs w:val="24"/>
        </w:rPr>
        <w:t xml:space="preserve"> </w:t>
      </w:r>
      <w:r w:rsidR="00227BD4">
        <w:rPr>
          <w:rFonts w:asciiTheme="minorHAnsi" w:hAnsiTheme="minorHAnsi"/>
          <w:sz w:val="24"/>
          <w:szCs w:val="24"/>
        </w:rPr>
        <w:t>80</w:t>
      </w:r>
      <w:r w:rsidR="00106478" w:rsidRPr="00106478">
        <w:rPr>
          <w:rFonts w:asciiTheme="minorHAnsi" w:hAnsiTheme="minorHAnsi"/>
          <w:sz w:val="24"/>
          <w:szCs w:val="24"/>
        </w:rPr>
        <w:t xml:space="preserve">, 288 02 </w:t>
      </w:r>
      <w:r w:rsidR="001E38BB">
        <w:rPr>
          <w:rFonts w:asciiTheme="minorHAnsi" w:hAnsiTheme="minorHAnsi"/>
          <w:sz w:val="24"/>
          <w:szCs w:val="24"/>
        </w:rPr>
        <w:t>Netřebice</w:t>
      </w:r>
      <w:bookmarkStart w:id="0" w:name="_GoBack"/>
      <w:bookmarkEnd w:id="0"/>
      <w:r w:rsidRPr="00106478">
        <w:rPr>
          <w:rFonts w:asciiTheme="minorHAnsi" w:hAnsiTheme="minorHAnsi"/>
          <w:sz w:val="24"/>
          <w:szCs w:val="24"/>
        </w:rPr>
        <w:t>,</w:t>
      </w:r>
    </w:p>
    <w:p w14:paraId="2D015D1B" w14:textId="1A41EEF5" w:rsidR="003B00DE" w:rsidRPr="00106478" w:rsidRDefault="003B00DE" w:rsidP="003B00D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IČ: </w:t>
      </w:r>
      <w:r w:rsidRPr="00106478">
        <w:rPr>
          <w:rFonts w:asciiTheme="minorHAnsi" w:hAnsiTheme="minorHAnsi"/>
          <w:sz w:val="24"/>
          <w:szCs w:val="24"/>
        </w:rPr>
        <w:tab/>
      </w:r>
      <w:r w:rsidRPr="00106478">
        <w:rPr>
          <w:rFonts w:asciiTheme="minorHAnsi" w:hAnsiTheme="minorHAnsi"/>
          <w:sz w:val="24"/>
          <w:szCs w:val="24"/>
        </w:rPr>
        <w:tab/>
      </w:r>
      <w:r w:rsidRPr="00106478">
        <w:rPr>
          <w:rFonts w:asciiTheme="minorHAnsi" w:hAnsiTheme="minorHAnsi"/>
          <w:sz w:val="24"/>
          <w:szCs w:val="24"/>
        </w:rPr>
        <w:tab/>
      </w:r>
      <w:r w:rsidR="00C835DC">
        <w:rPr>
          <w:rFonts w:asciiTheme="minorHAnsi" w:hAnsiTheme="minorHAnsi"/>
          <w:sz w:val="24"/>
          <w:szCs w:val="24"/>
        </w:rPr>
        <w:t>006</w:t>
      </w:r>
      <w:r w:rsidR="00106478" w:rsidRPr="00106478">
        <w:rPr>
          <w:rFonts w:asciiTheme="minorHAnsi" w:hAnsiTheme="minorHAnsi"/>
          <w:sz w:val="24"/>
          <w:szCs w:val="24"/>
        </w:rPr>
        <w:t xml:space="preserve"> </w:t>
      </w:r>
      <w:r w:rsidR="00C835DC">
        <w:rPr>
          <w:rFonts w:asciiTheme="minorHAnsi" w:hAnsiTheme="minorHAnsi"/>
          <w:sz w:val="24"/>
          <w:szCs w:val="24"/>
        </w:rPr>
        <w:t>40</w:t>
      </w:r>
      <w:r w:rsidR="00106478" w:rsidRPr="00106478">
        <w:rPr>
          <w:rFonts w:asciiTheme="minorHAnsi" w:hAnsiTheme="minorHAnsi"/>
          <w:sz w:val="24"/>
          <w:szCs w:val="24"/>
        </w:rPr>
        <w:t xml:space="preserve"> </w:t>
      </w:r>
      <w:r w:rsidR="00C835DC">
        <w:rPr>
          <w:rFonts w:asciiTheme="minorHAnsi" w:hAnsiTheme="minorHAnsi"/>
          <w:sz w:val="24"/>
          <w:szCs w:val="24"/>
        </w:rPr>
        <w:t>581</w:t>
      </w:r>
      <w:r w:rsidRPr="00106478">
        <w:rPr>
          <w:rFonts w:asciiTheme="minorHAnsi" w:hAnsiTheme="minorHAnsi"/>
          <w:sz w:val="24"/>
          <w:szCs w:val="24"/>
        </w:rPr>
        <w:t xml:space="preserve"> </w:t>
      </w:r>
    </w:p>
    <w:p w14:paraId="2A39080D" w14:textId="1840B02F" w:rsidR="003B00DE" w:rsidRPr="00106478" w:rsidRDefault="003B00DE" w:rsidP="00C835D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zastoupená svým starostou </w:t>
      </w:r>
      <w:r w:rsidR="00C835DC">
        <w:rPr>
          <w:rFonts w:asciiTheme="minorHAnsi" w:hAnsiTheme="minorHAnsi"/>
          <w:b/>
          <w:sz w:val="24"/>
          <w:szCs w:val="24"/>
        </w:rPr>
        <w:t>Davidem Pinkasem</w:t>
      </w:r>
    </w:p>
    <w:p w14:paraId="5957A28E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(dále jen „</w:t>
      </w:r>
      <w:r w:rsidRPr="00106478">
        <w:rPr>
          <w:rFonts w:asciiTheme="minorHAnsi" w:hAnsiTheme="minorHAnsi"/>
          <w:i/>
          <w:sz w:val="24"/>
          <w:szCs w:val="24"/>
        </w:rPr>
        <w:t>Propachtovatel</w:t>
      </w:r>
      <w:r w:rsidRPr="00106478">
        <w:rPr>
          <w:rFonts w:asciiTheme="minorHAnsi" w:hAnsiTheme="minorHAnsi"/>
          <w:sz w:val="24"/>
          <w:szCs w:val="24"/>
        </w:rPr>
        <w:t xml:space="preserve">“) </w:t>
      </w:r>
    </w:p>
    <w:p w14:paraId="12040AB7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01BBBE3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a</w:t>
      </w:r>
    </w:p>
    <w:p w14:paraId="0303D028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3618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06478">
        <w:rPr>
          <w:rFonts w:asciiTheme="minorHAnsi" w:hAnsiTheme="minorHAnsi"/>
          <w:b/>
          <w:sz w:val="24"/>
          <w:szCs w:val="24"/>
        </w:rPr>
        <w:t>II.</w:t>
      </w:r>
    </w:p>
    <w:p w14:paraId="14090CF7" w14:textId="77777777" w:rsidR="003B00DE" w:rsidRPr="00106478" w:rsidRDefault="003B00DE" w:rsidP="003B00DE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06478">
        <w:rPr>
          <w:rFonts w:asciiTheme="minorHAnsi" w:hAnsiTheme="minorHAnsi"/>
          <w:b/>
          <w:sz w:val="24"/>
          <w:szCs w:val="24"/>
        </w:rPr>
        <w:tab/>
      </w:r>
      <w:r w:rsidR="00106478" w:rsidRPr="00106478">
        <w:rPr>
          <w:rFonts w:asciiTheme="minorHAnsi" w:hAnsiTheme="minorHAnsi"/>
          <w:b/>
          <w:sz w:val="24"/>
          <w:szCs w:val="24"/>
        </w:rPr>
        <w:t>[</w:t>
      </w:r>
      <w:r w:rsidR="00106478" w:rsidRPr="00106478">
        <w:rPr>
          <w:rFonts w:asciiTheme="minorHAnsi" w:hAnsiTheme="minorHAnsi"/>
          <w:b/>
          <w:sz w:val="24"/>
          <w:szCs w:val="24"/>
          <w:highlight w:val="yellow"/>
        </w:rPr>
        <w:t>bude doplněno</w:t>
      </w:r>
      <w:r w:rsidR="00106478" w:rsidRPr="00106478">
        <w:rPr>
          <w:rFonts w:asciiTheme="minorHAnsi" w:hAnsiTheme="minorHAnsi"/>
          <w:b/>
          <w:sz w:val="24"/>
          <w:szCs w:val="24"/>
        </w:rPr>
        <w:t>]</w:t>
      </w:r>
    </w:p>
    <w:p w14:paraId="3A432CD5" w14:textId="77777777" w:rsidR="003B00DE" w:rsidRPr="00106478" w:rsidRDefault="003B00DE" w:rsidP="003B00DE">
      <w:pPr>
        <w:tabs>
          <w:tab w:val="left" w:pos="1950"/>
        </w:tabs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Se sídlem:</w:t>
      </w:r>
      <w:r w:rsidRPr="00106478">
        <w:rPr>
          <w:rFonts w:asciiTheme="minorHAnsi" w:hAnsiTheme="minorHAnsi"/>
          <w:sz w:val="24"/>
          <w:szCs w:val="24"/>
        </w:rPr>
        <w:tab/>
      </w:r>
      <w:r w:rsidR="00106478" w:rsidRPr="00106478">
        <w:rPr>
          <w:rFonts w:asciiTheme="minorHAnsi" w:hAnsiTheme="minorHAnsi"/>
          <w:sz w:val="24"/>
          <w:szCs w:val="24"/>
        </w:rPr>
        <w:t>[</w:t>
      </w:r>
      <w:r w:rsidR="00106478" w:rsidRPr="00106478">
        <w:rPr>
          <w:rFonts w:asciiTheme="minorHAnsi" w:hAnsiTheme="minorHAnsi"/>
          <w:sz w:val="24"/>
          <w:szCs w:val="24"/>
          <w:highlight w:val="yellow"/>
        </w:rPr>
        <w:t>bude doplněno</w:t>
      </w:r>
      <w:r w:rsidR="00106478" w:rsidRPr="00106478">
        <w:rPr>
          <w:rFonts w:asciiTheme="minorHAnsi" w:hAnsiTheme="minorHAnsi"/>
          <w:sz w:val="24"/>
          <w:szCs w:val="24"/>
        </w:rPr>
        <w:t>]</w:t>
      </w:r>
    </w:p>
    <w:p w14:paraId="3E1BBDB2" w14:textId="77777777" w:rsidR="003B00DE" w:rsidRPr="00106478" w:rsidRDefault="003B00DE" w:rsidP="003B00DE">
      <w:pPr>
        <w:tabs>
          <w:tab w:val="left" w:pos="1950"/>
        </w:tabs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IČ:</w:t>
      </w:r>
      <w:r w:rsidRPr="00106478">
        <w:rPr>
          <w:rFonts w:asciiTheme="minorHAnsi" w:hAnsiTheme="minorHAnsi"/>
          <w:sz w:val="24"/>
          <w:szCs w:val="24"/>
        </w:rPr>
        <w:tab/>
      </w:r>
      <w:r w:rsidR="00106478" w:rsidRPr="00106478">
        <w:rPr>
          <w:rFonts w:asciiTheme="minorHAnsi" w:hAnsiTheme="minorHAnsi"/>
          <w:sz w:val="24"/>
          <w:szCs w:val="24"/>
        </w:rPr>
        <w:t>[</w:t>
      </w:r>
      <w:r w:rsidR="00106478" w:rsidRPr="00106478">
        <w:rPr>
          <w:rFonts w:asciiTheme="minorHAnsi" w:hAnsiTheme="minorHAnsi"/>
          <w:sz w:val="24"/>
          <w:szCs w:val="24"/>
          <w:highlight w:val="yellow"/>
        </w:rPr>
        <w:t>bude doplněno</w:t>
      </w:r>
      <w:r w:rsidR="00106478" w:rsidRPr="00106478">
        <w:rPr>
          <w:rFonts w:asciiTheme="minorHAnsi" w:hAnsiTheme="minorHAnsi"/>
          <w:sz w:val="24"/>
          <w:szCs w:val="24"/>
        </w:rPr>
        <w:t>]</w:t>
      </w:r>
    </w:p>
    <w:p w14:paraId="49493918" w14:textId="77777777" w:rsidR="003B00DE" w:rsidRPr="00106478" w:rsidRDefault="003B00DE" w:rsidP="003B00DE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192028FC" w14:textId="77777777" w:rsidR="003B00DE" w:rsidRPr="00106478" w:rsidRDefault="009E3CBE" w:rsidP="003B00D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z</w:t>
      </w:r>
      <w:r w:rsidR="003B00DE" w:rsidRPr="00106478">
        <w:rPr>
          <w:rFonts w:asciiTheme="minorHAnsi" w:hAnsiTheme="minorHAnsi"/>
          <w:sz w:val="24"/>
          <w:szCs w:val="24"/>
        </w:rPr>
        <w:t xml:space="preserve">astoupená svým </w:t>
      </w:r>
      <w:r w:rsidRPr="00106478">
        <w:rPr>
          <w:rFonts w:asciiTheme="minorHAnsi" w:hAnsiTheme="minorHAnsi"/>
          <w:sz w:val="24"/>
          <w:szCs w:val="24"/>
        </w:rPr>
        <w:t xml:space="preserve">jednatelem </w:t>
      </w:r>
      <w:r w:rsidR="00106478" w:rsidRPr="00106478">
        <w:rPr>
          <w:rFonts w:asciiTheme="minorHAnsi" w:hAnsiTheme="minorHAnsi"/>
          <w:sz w:val="24"/>
          <w:szCs w:val="24"/>
        </w:rPr>
        <w:t>[</w:t>
      </w:r>
      <w:r w:rsidR="00106478" w:rsidRPr="00106478">
        <w:rPr>
          <w:rFonts w:asciiTheme="minorHAnsi" w:hAnsiTheme="minorHAnsi"/>
          <w:sz w:val="24"/>
          <w:szCs w:val="24"/>
          <w:highlight w:val="yellow"/>
        </w:rPr>
        <w:t>bude doplněno</w:t>
      </w:r>
      <w:r w:rsidR="00106478" w:rsidRPr="00106478">
        <w:rPr>
          <w:rFonts w:asciiTheme="minorHAnsi" w:hAnsiTheme="minorHAnsi"/>
          <w:sz w:val="24"/>
          <w:szCs w:val="24"/>
        </w:rPr>
        <w:t>]</w:t>
      </w:r>
    </w:p>
    <w:p w14:paraId="4B330B13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(dále jen „</w:t>
      </w:r>
      <w:r w:rsidRPr="00106478">
        <w:rPr>
          <w:rFonts w:asciiTheme="minorHAnsi" w:hAnsiTheme="minorHAnsi"/>
          <w:i/>
          <w:sz w:val="24"/>
          <w:szCs w:val="24"/>
        </w:rPr>
        <w:t>Pachtýř</w:t>
      </w:r>
      <w:r w:rsidRPr="00106478">
        <w:rPr>
          <w:rFonts w:asciiTheme="minorHAnsi" w:hAnsiTheme="minorHAnsi"/>
          <w:sz w:val="24"/>
          <w:szCs w:val="24"/>
        </w:rPr>
        <w:t xml:space="preserve">“) </w:t>
      </w:r>
    </w:p>
    <w:p w14:paraId="32CF3675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26907E9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26162F8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Čl. I. </w:t>
      </w:r>
    </w:p>
    <w:p w14:paraId="0D1E7819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Úvodní ustanovení </w:t>
      </w:r>
    </w:p>
    <w:p w14:paraId="64F20CCE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34E21DBE" w14:textId="692CA48A" w:rsidR="00106478" w:rsidRPr="00106478" w:rsidRDefault="003B00DE" w:rsidP="003B00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Propachtovatel prohlašuje, že je výlučným vlastníkem</w:t>
      </w:r>
      <w:r w:rsidR="00C835DC">
        <w:rPr>
          <w:rFonts w:asciiTheme="minorHAnsi" w:hAnsiTheme="minorHAnsi"/>
          <w:sz w:val="24"/>
          <w:szCs w:val="24"/>
        </w:rPr>
        <w:t xml:space="preserve"> pozemků </w:t>
      </w:r>
      <w:proofErr w:type="spellStart"/>
      <w:r w:rsidR="00C835DC">
        <w:rPr>
          <w:rFonts w:asciiTheme="minorHAnsi" w:hAnsiTheme="minorHAnsi"/>
          <w:sz w:val="24"/>
          <w:szCs w:val="24"/>
        </w:rPr>
        <w:t>parc</w:t>
      </w:r>
      <w:proofErr w:type="spellEnd"/>
      <w:r w:rsidR="00C835DC">
        <w:rPr>
          <w:rFonts w:asciiTheme="minorHAnsi" w:hAnsiTheme="minorHAnsi"/>
          <w:sz w:val="24"/>
          <w:szCs w:val="24"/>
        </w:rPr>
        <w:t xml:space="preserve">. č. </w:t>
      </w:r>
      <w:r w:rsidR="00227BD4">
        <w:rPr>
          <w:rFonts w:asciiTheme="minorHAnsi" w:hAnsiTheme="minorHAnsi"/>
          <w:sz w:val="24"/>
          <w:szCs w:val="24"/>
        </w:rPr>
        <w:t>95</w:t>
      </w:r>
      <w:r w:rsidR="00C835DC">
        <w:rPr>
          <w:rFonts w:asciiTheme="minorHAnsi" w:hAnsiTheme="minorHAnsi"/>
          <w:sz w:val="24"/>
          <w:szCs w:val="24"/>
        </w:rPr>
        <w:t xml:space="preserve">, </w:t>
      </w:r>
      <w:r w:rsidR="00227BD4">
        <w:rPr>
          <w:rFonts w:asciiTheme="minorHAnsi" w:hAnsiTheme="minorHAnsi"/>
          <w:sz w:val="24"/>
          <w:szCs w:val="24"/>
        </w:rPr>
        <w:t>1004</w:t>
      </w:r>
      <w:r w:rsidR="00C835DC">
        <w:rPr>
          <w:rFonts w:asciiTheme="minorHAnsi" w:hAnsiTheme="minorHAnsi"/>
          <w:sz w:val="24"/>
          <w:szCs w:val="24"/>
        </w:rPr>
        <w:t xml:space="preserve">, </w:t>
      </w:r>
      <w:r w:rsidR="00227BD4">
        <w:rPr>
          <w:rFonts w:asciiTheme="minorHAnsi" w:hAnsiTheme="minorHAnsi"/>
          <w:sz w:val="24"/>
          <w:szCs w:val="24"/>
        </w:rPr>
        <w:t>1013</w:t>
      </w:r>
      <w:r w:rsidR="00C835DC">
        <w:rPr>
          <w:rFonts w:asciiTheme="minorHAnsi" w:hAnsiTheme="minorHAnsi"/>
          <w:sz w:val="24"/>
          <w:szCs w:val="24"/>
        </w:rPr>
        <w:t xml:space="preserve">, </w:t>
      </w:r>
      <w:r w:rsidR="00227BD4">
        <w:rPr>
          <w:rFonts w:asciiTheme="minorHAnsi" w:hAnsiTheme="minorHAnsi"/>
          <w:sz w:val="24"/>
          <w:szCs w:val="24"/>
        </w:rPr>
        <w:t>1017</w:t>
      </w:r>
      <w:r w:rsidR="00C835DC">
        <w:rPr>
          <w:rFonts w:asciiTheme="minorHAnsi" w:hAnsiTheme="minorHAnsi"/>
          <w:sz w:val="24"/>
          <w:szCs w:val="24"/>
        </w:rPr>
        <w:t xml:space="preserve">, </w:t>
      </w:r>
      <w:r w:rsidR="00227BD4">
        <w:rPr>
          <w:rFonts w:asciiTheme="minorHAnsi" w:hAnsiTheme="minorHAnsi"/>
          <w:sz w:val="24"/>
          <w:szCs w:val="24"/>
        </w:rPr>
        <w:t>1032, 1049, 1051, 1064, 1067, 1068, 1070, 1084, 1086, 1096, 1106, 1112, 1117, 1126, 1129, 1143, 1145, 1200, 1202, 1209, 1215, 1231, 1234, 1245, 1248, 1261, 1263 a 1243/1</w:t>
      </w:r>
      <w:r w:rsidR="00C835DC" w:rsidRPr="00A24B17">
        <w:rPr>
          <w:rFonts w:asciiTheme="minorHAnsi" w:hAnsiTheme="minorHAnsi"/>
          <w:sz w:val="24"/>
          <w:szCs w:val="24"/>
        </w:rPr>
        <w:t>, vše v </w:t>
      </w:r>
      <w:proofErr w:type="spellStart"/>
      <w:proofErr w:type="gramStart"/>
      <w:r w:rsidR="00C835DC" w:rsidRPr="00A24B17">
        <w:rPr>
          <w:rFonts w:asciiTheme="minorHAnsi" w:hAnsiTheme="minorHAnsi"/>
          <w:sz w:val="24"/>
          <w:szCs w:val="24"/>
        </w:rPr>
        <w:t>k.ú</w:t>
      </w:r>
      <w:proofErr w:type="spellEnd"/>
      <w:r w:rsidR="00C835DC" w:rsidRPr="00A24B17">
        <w:rPr>
          <w:rFonts w:asciiTheme="minorHAnsi" w:hAnsiTheme="minorHAnsi"/>
          <w:sz w:val="24"/>
          <w:szCs w:val="24"/>
        </w:rPr>
        <w:t>.</w:t>
      </w:r>
      <w:proofErr w:type="gramEnd"/>
      <w:r w:rsidR="00C835DC" w:rsidRPr="00A24B17">
        <w:rPr>
          <w:rFonts w:asciiTheme="minorHAnsi" w:hAnsiTheme="minorHAnsi"/>
          <w:sz w:val="24"/>
          <w:szCs w:val="24"/>
        </w:rPr>
        <w:t xml:space="preserve"> Netřebice u Nymburka</w:t>
      </w:r>
      <w:r w:rsidR="004A4543" w:rsidRPr="00A24B17">
        <w:rPr>
          <w:rFonts w:asciiTheme="minorHAnsi" w:hAnsiTheme="minorHAnsi"/>
          <w:sz w:val="24"/>
          <w:szCs w:val="24"/>
        </w:rPr>
        <w:t>. Celková výměra</w:t>
      </w:r>
      <w:r w:rsidR="00C835DC" w:rsidRPr="00A24B17">
        <w:rPr>
          <w:rFonts w:asciiTheme="minorHAnsi" w:hAnsiTheme="minorHAnsi"/>
          <w:sz w:val="24"/>
          <w:szCs w:val="24"/>
        </w:rPr>
        <w:t xml:space="preserve"> propachtovaných</w:t>
      </w:r>
      <w:r w:rsidR="004A4543" w:rsidRPr="00A24B17">
        <w:rPr>
          <w:rFonts w:asciiTheme="minorHAnsi" w:hAnsiTheme="minorHAnsi"/>
          <w:sz w:val="24"/>
          <w:szCs w:val="24"/>
        </w:rPr>
        <w:t xml:space="preserve"> pozemků činí </w:t>
      </w:r>
      <w:r w:rsidR="00227BD4">
        <w:rPr>
          <w:rFonts w:asciiTheme="minorHAnsi" w:hAnsiTheme="minorHAnsi"/>
          <w:sz w:val="24"/>
          <w:szCs w:val="24"/>
        </w:rPr>
        <w:t>786</w:t>
      </w:r>
      <w:r w:rsidR="009D7F16" w:rsidRPr="00A24B17">
        <w:rPr>
          <w:rFonts w:asciiTheme="minorHAnsi" w:hAnsiTheme="minorHAnsi"/>
          <w:sz w:val="24"/>
          <w:szCs w:val="24"/>
        </w:rPr>
        <w:t>.</w:t>
      </w:r>
      <w:r w:rsidR="00227BD4">
        <w:rPr>
          <w:rFonts w:asciiTheme="minorHAnsi" w:hAnsiTheme="minorHAnsi"/>
          <w:sz w:val="24"/>
          <w:szCs w:val="24"/>
        </w:rPr>
        <w:t>057</w:t>
      </w:r>
      <w:r w:rsidR="004A4543" w:rsidRPr="00A24B17">
        <w:rPr>
          <w:rFonts w:asciiTheme="minorHAnsi" w:hAnsiTheme="minorHAnsi"/>
          <w:sz w:val="24"/>
          <w:szCs w:val="24"/>
        </w:rPr>
        <w:t>m</w:t>
      </w:r>
      <w:r w:rsidR="004A4543" w:rsidRPr="00A24B17">
        <w:rPr>
          <w:rFonts w:asciiTheme="minorHAnsi" w:hAnsiTheme="minorHAnsi"/>
          <w:sz w:val="24"/>
          <w:szCs w:val="24"/>
          <w:vertAlign w:val="superscript"/>
        </w:rPr>
        <w:t>2</w:t>
      </w:r>
      <w:r w:rsidR="004A4543">
        <w:rPr>
          <w:rFonts w:asciiTheme="minorHAnsi" w:hAnsiTheme="minorHAnsi"/>
          <w:sz w:val="24"/>
          <w:szCs w:val="24"/>
        </w:rPr>
        <w:t xml:space="preserve"> (dále jen jako „</w:t>
      </w:r>
      <w:r w:rsidR="004A4543" w:rsidRPr="00C835DC">
        <w:rPr>
          <w:rFonts w:asciiTheme="minorHAnsi" w:hAnsiTheme="minorHAnsi"/>
          <w:i/>
          <w:sz w:val="24"/>
          <w:szCs w:val="24"/>
        </w:rPr>
        <w:t>Pozemky</w:t>
      </w:r>
      <w:r w:rsidR="004A4543">
        <w:rPr>
          <w:rFonts w:asciiTheme="minorHAnsi" w:hAnsiTheme="minorHAnsi"/>
          <w:sz w:val="24"/>
          <w:szCs w:val="24"/>
        </w:rPr>
        <w:t>“).</w:t>
      </w:r>
    </w:p>
    <w:p w14:paraId="4D636FD4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C5FE4A" w14:textId="77777777" w:rsidR="003B00DE" w:rsidRPr="00106478" w:rsidRDefault="003B00DE" w:rsidP="003B00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Propachtovatel dále prohlašuje, že je vlastníkem veškeré výsadby, tj.</w:t>
      </w:r>
      <w:r w:rsidR="00F00FFE" w:rsidRPr="00106478">
        <w:rPr>
          <w:rFonts w:asciiTheme="minorHAnsi" w:hAnsiTheme="minorHAnsi"/>
          <w:sz w:val="24"/>
          <w:szCs w:val="24"/>
        </w:rPr>
        <w:t xml:space="preserve"> travního porostu, stromů a křovin</w:t>
      </w:r>
      <w:r w:rsidRPr="00106478">
        <w:rPr>
          <w:rFonts w:asciiTheme="minorHAnsi" w:hAnsiTheme="minorHAnsi"/>
          <w:sz w:val="24"/>
          <w:szCs w:val="24"/>
        </w:rPr>
        <w:t>, které se ke dni</w:t>
      </w:r>
      <w:r w:rsidR="00F00FFE" w:rsidRPr="00106478">
        <w:rPr>
          <w:rFonts w:asciiTheme="minorHAnsi" w:hAnsiTheme="minorHAnsi"/>
          <w:sz w:val="24"/>
          <w:szCs w:val="24"/>
        </w:rPr>
        <w:t xml:space="preserve"> podpisu této smlouvy na </w:t>
      </w:r>
      <w:r w:rsidR="00106478">
        <w:rPr>
          <w:rFonts w:asciiTheme="minorHAnsi" w:hAnsiTheme="minorHAnsi"/>
          <w:sz w:val="24"/>
          <w:szCs w:val="24"/>
        </w:rPr>
        <w:t>P</w:t>
      </w:r>
      <w:r w:rsidR="00F00FFE" w:rsidRPr="00106478">
        <w:rPr>
          <w:rFonts w:asciiTheme="minorHAnsi" w:hAnsiTheme="minorHAnsi"/>
          <w:sz w:val="24"/>
          <w:szCs w:val="24"/>
        </w:rPr>
        <w:t>ozemcích</w:t>
      </w:r>
      <w:r w:rsidRPr="00106478">
        <w:rPr>
          <w:rFonts w:asciiTheme="minorHAnsi" w:hAnsiTheme="minorHAnsi"/>
          <w:sz w:val="24"/>
          <w:szCs w:val="24"/>
        </w:rPr>
        <w:t xml:space="preserve"> dle odst. 1. tohoto člá</w:t>
      </w:r>
      <w:r w:rsidR="00F00FFE" w:rsidRPr="00106478">
        <w:rPr>
          <w:rFonts w:asciiTheme="minorHAnsi" w:hAnsiTheme="minorHAnsi"/>
          <w:sz w:val="24"/>
          <w:szCs w:val="24"/>
        </w:rPr>
        <w:t>nku nacházejí, resp. jsou na nich</w:t>
      </w:r>
      <w:r w:rsidRPr="00106478">
        <w:rPr>
          <w:rFonts w:asciiTheme="minorHAnsi" w:hAnsiTheme="minorHAnsi"/>
          <w:sz w:val="24"/>
          <w:szCs w:val="24"/>
        </w:rPr>
        <w:t xml:space="preserve"> vysazeny a jsou k tomuto oka</w:t>
      </w:r>
      <w:r w:rsidR="00C82976" w:rsidRPr="00106478">
        <w:rPr>
          <w:rFonts w:asciiTheme="minorHAnsi" w:hAnsiTheme="minorHAnsi"/>
          <w:sz w:val="24"/>
          <w:szCs w:val="24"/>
        </w:rPr>
        <w:t>mžiku plodivé příp. plodonosné.</w:t>
      </w:r>
    </w:p>
    <w:p w14:paraId="18B95AC4" w14:textId="77777777" w:rsidR="003B00DE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4631338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Čl. II. </w:t>
      </w:r>
    </w:p>
    <w:p w14:paraId="77E53045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Předmět smlouvy </w:t>
      </w:r>
    </w:p>
    <w:p w14:paraId="2E79BA9B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0EF8A9BF" w14:textId="204B5573" w:rsidR="003B00DE" w:rsidRDefault="003B00DE" w:rsidP="003B00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Propachtovatel touto smlouvou přenechává Pachtýři </w:t>
      </w:r>
      <w:r w:rsidR="0041224E">
        <w:rPr>
          <w:rFonts w:asciiTheme="minorHAnsi" w:hAnsiTheme="minorHAnsi"/>
          <w:sz w:val="24"/>
          <w:szCs w:val="24"/>
        </w:rPr>
        <w:t>níže uvedené Pozemky, resp. jejich případnou část,</w:t>
      </w:r>
      <w:r w:rsidRPr="00106478">
        <w:rPr>
          <w:rFonts w:asciiTheme="minorHAnsi" w:hAnsiTheme="minorHAnsi"/>
          <w:sz w:val="24"/>
          <w:szCs w:val="24"/>
        </w:rPr>
        <w:t xml:space="preserve"> společně s</w:t>
      </w:r>
      <w:r w:rsidR="0041224E">
        <w:rPr>
          <w:rFonts w:asciiTheme="minorHAnsi" w:hAnsiTheme="minorHAnsi"/>
          <w:sz w:val="24"/>
          <w:szCs w:val="24"/>
        </w:rPr>
        <w:t> </w:t>
      </w:r>
      <w:r w:rsidRPr="00106478">
        <w:rPr>
          <w:rFonts w:asciiTheme="minorHAnsi" w:hAnsiTheme="minorHAnsi"/>
          <w:sz w:val="24"/>
          <w:szCs w:val="24"/>
        </w:rPr>
        <w:t>výsadbou</w:t>
      </w:r>
      <w:r w:rsidR="0041224E">
        <w:rPr>
          <w:rFonts w:asciiTheme="minorHAnsi" w:hAnsiTheme="minorHAnsi"/>
          <w:sz w:val="24"/>
          <w:szCs w:val="24"/>
        </w:rPr>
        <w:t xml:space="preserve"> </w:t>
      </w:r>
      <w:r w:rsidRPr="00106478">
        <w:rPr>
          <w:rFonts w:asciiTheme="minorHAnsi" w:hAnsiTheme="minorHAnsi"/>
          <w:sz w:val="24"/>
          <w:szCs w:val="24"/>
        </w:rPr>
        <w:t>(dále jen „</w:t>
      </w:r>
      <w:r w:rsidRPr="00106478">
        <w:rPr>
          <w:rFonts w:asciiTheme="minorHAnsi" w:hAnsiTheme="minorHAnsi"/>
          <w:i/>
          <w:sz w:val="24"/>
          <w:szCs w:val="24"/>
        </w:rPr>
        <w:t>Předmět zemědělského pachtu</w:t>
      </w:r>
      <w:r w:rsidRPr="00106478">
        <w:rPr>
          <w:rFonts w:asciiTheme="minorHAnsi" w:hAnsiTheme="minorHAnsi"/>
          <w:sz w:val="24"/>
          <w:szCs w:val="24"/>
        </w:rPr>
        <w:t>“</w:t>
      </w:r>
      <w:r w:rsidR="002722CA">
        <w:rPr>
          <w:rFonts w:asciiTheme="minorHAnsi" w:hAnsiTheme="minorHAnsi"/>
          <w:sz w:val="24"/>
          <w:szCs w:val="24"/>
        </w:rPr>
        <w:t xml:space="preserve"> nebo „</w:t>
      </w:r>
      <w:r w:rsidR="002722CA" w:rsidRPr="002722CA">
        <w:rPr>
          <w:rFonts w:asciiTheme="minorHAnsi" w:hAnsiTheme="minorHAnsi"/>
          <w:i/>
          <w:sz w:val="24"/>
          <w:szCs w:val="24"/>
        </w:rPr>
        <w:t>Předmět pachtu</w:t>
      </w:r>
      <w:r w:rsidR="002722CA">
        <w:rPr>
          <w:rFonts w:asciiTheme="minorHAnsi" w:hAnsiTheme="minorHAnsi"/>
          <w:sz w:val="24"/>
          <w:szCs w:val="24"/>
        </w:rPr>
        <w:t>“</w:t>
      </w:r>
      <w:r w:rsidRPr="00106478">
        <w:rPr>
          <w:rFonts w:asciiTheme="minorHAnsi" w:hAnsiTheme="minorHAnsi"/>
          <w:sz w:val="24"/>
          <w:szCs w:val="24"/>
        </w:rPr>
        <w:t xml:space="preserve">), k užívání a požívání, a to za účelem zemědělského hospodaření Pachtýře s nimi a dosahování zemědělské produkce, spočívající zejména v pěstování zemědělských plodin, sklizni všech plodů a přírůstků, v řádné péči o zemědělské plodiny a jejich průběžné obnovování. </w:t>
      </w:r>
      <w:r w:rsidR="0041224E">
        <w:rPr>
          <w:rFonts w:asciiTheme="minorHAnsi" w:hAnsiTheme="minorHAnsi"/>
          <w:sz w:val="24"/>
          <w:szCs w:val="24"/>
        </w:rPr>
        <w:t xml:space="preserve">To vše vyjma pozemku </w:t>
      </w:r>
      <w:proofErr w:type="spellStart"/>
      <w:r w:rsidR="0041224E">
        <w:rPr>
          <w:rFonts w:asciiTheme="minorHAnsi" w:hAnsiTheme="minorHAnsi"/>
          <w:sz w:val="24"/>
          <w:szCs w:val="24"/>
        </w:rPr>
        <w:t>parc</w:t>
      </w:r>
      <w:proofErr w:type="spellEnd"/>
      <w:r w:rsidR="0041224E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41224E">
        <w:rPr>
          <w:rFonts w:asciiTheme="minorHAnsi" w:hAnsiTheme="minorHAnsi"/>
          <w:sz w:val="24"/>
          <w:szCs w:val="24"/>
        </w:rPr>
        <w:t>č.</w:t>
      </w:r>
      <w:proofErr w:type="gramEnd"/>
      <w:r w:rsidR="0041224E">
        <w:rPr>
          <w:rFonts w:asciiTheme="minorHAnsi" w:hAnsiTheme="minorHAnsi"/>
          <w:sz w:val="24"/>
          <w:szCs w:val="24"/>
        </w:rPr>
        <w:t xml:space="preserve"> </w:t>
      </w:r>
      <w:r w:rsidR="00E753A6">
        <w:rPr>
          <w:rFonts w:asciiTheme="minorHAnsi" w:hAnsiTheme="minorHAnsi"/>
          <w:sz w:val="24"/>
          <w:szCs w:val="24"/>
        </w:rPr>
        <w:t xml:space="preserve">1231 a </w:t>
      </w:r>
      <w:r w:rsidR="0041224E">
        <w:rPr>
          <w:rFonts w:asciiTheme="minorHAnsi" w:hAnsiTheme="minorHAnsi"/>
          <w:sz w:val="24"/>
          <w:szCs w:val="24"/>
        </w:rPr>
        <w:t>1234, který je určen výhradně jako trvalý travní porost.</w:t>
      </w:r>
    </w:p>
    <w:p w14:paraId="0DEEDF3E" w14:textId="77777777" w:rsidR="0041224E" w:rsidRDefault="0041224E" w:rsidP="004122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3EE02DA4" w14:textId="1FF6F52A" w:rsidR="0041224E" w:rsidRDefault="0041224E" w:rsidP="003B00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K propachtování jsou určeny následující pozemky</w:t>
      </w:r>
    </w:p>
    <w:p w14:paraId="7A0BFB25" w14:textId="77777777" w:rsidR="0041224E" w:rsidRDefault="0041224E" w:rsidP="0041224E">
      <w:pPr>
        <w:pStyle w:val="Odstavecseseznamem"/>
        <w:rPr>
          <w:rFonts w:asciiTheme="minorHAnsi" w:hAnsiTheme="minorHAnsi"/>
          <w:sz w:val="24"/>
          <w:szCs w:val="24"/>
        </w:rPr>
      </w:pPr>
    </w:p>
    <w:p w14:paraId="679898F6" w14:textId="77777777" w:rsidR="00227BD4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95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10.842m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6430F2A7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1004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20.137m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44D9CFFA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1013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58.300m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730C8574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1017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895m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ostatní plocha;</w:t>
      </w:r>
    </w:p>
    <w:p w14:paraId="4268B8F6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1032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100.172m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468C9F17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1049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3.721m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1BC01A83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1051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31.896m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33C5CF4F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1064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57.045m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46AEDA9F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1067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36.436m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3D05E632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1068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3.911m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ostatní plocha;</w:t>
      </w:r>
    </w:p>
    <w:p w14:paraId="265CDD3D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1070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58.276m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53A0352A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1084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2.998m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ostatní plocha;</w:t>
      </w:r>
    </w:p>
    <w:p w14:paraId="44247B74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1086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17.959m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46A0D9E5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1096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182.766m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23D40E58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1106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9.338m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19370BE1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1112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1.194m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ostatní plocha;</w:t>
      </w:r>
    </w:p>
    <w:p w14:paraId="6FCF7C45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1117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21.230m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05DF527D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1126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5.728m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636C3CC8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1129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6.816m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4A64A769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1143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6.913m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1277506C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1145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2.413m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ostatní plocha;</w:t>
      </w:r>
    </w:p>
    <w:p w14:paraId="0654FA95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1200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8.234m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051DD437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lastRenderedPageBreak/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1202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13.499m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6462EA4A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1209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5.336m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ostatní plocha;</w:t>
      </w:r>
    </w:p>
    <w:p w14:paraId="41C30E72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1215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3.004m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ostatní plocha;</w:t>
      </w:r>
    </w:p>
    <w:p w14:paraId="730E0507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1231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41.292m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trvalý travní porost;</w:t>
      </w:r>
    </w:p>
    <w:p w14:paraId="7BE3C0AB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1234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35.597m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trvalý travní porost;</w:t>
      </w:r>
    </w:p>
    <w:p w14:paraId="6B636C4F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1245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16.193m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půda;</w:t>
      </w:r>
    </w:p>
    <w:p w14:paraId="603F0D35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1248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722m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ostatní plocha;</w:t>
      </w:r>
    </w:p>
    <w:p w14:paraId="6DEA837E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1261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8.609m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ostatní plocha;</w:t>
      </w:r>
    </w:p>
    <w:p w14:paraId="58C35F6D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 xml:space="preserve">. č. </w:t>
      </w:r>
      <w:r>
        <w:rPr>
          <w:rFonts w:ascii="Calibri" w:hAnsi="Calibri"/>
          <w:b/>
        </w:rPr>
        <w:t>1263</w:t>
      </w:r>
      <w:r w:rsidRPr="007343A2">
        <w:rPr>
          <w:rFonts w:ascii="Calibri" w:hAnsi="Calibri"/>
          <w:b/>
        </w:rPr>
        <w:t>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955m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ostatní plocha;</w:t>
      </w:r>
    </w:p>
    <w:p w14:paraId="5A30ACBE" w14:textId="77777777" w:rsidR="00227BD4" w:rsidRPr="001565F8" w:rsidRDefault="00227BD4" w:rsidP="00227BD4">
      <w:pPr>
        <w:pStyle w:val="Zkladntext"/>
        <w:numPr>
          <w:ilvl w:val="1"/>
          <w:numId w:val="3"/>
        </w:numPr>
        <w:rPr>
          <w:rFonts w:ascii="Calibri" w:hAnsi="Calibri"/>
        </w:rPr>
      </w:pPr>
      <w:r w:rsidRPr="007343A2">
        <w:rPr>
          <w:rFonts w:ascii="Calibri" w:hAnsi="Calibri"/>
          <w:b/>
        </w:rPr>
        <w:t xml:space="preserve">Pozemek </w:t>
      </w:r>
      <w:proofErr w:type="spellStart"/>
      <w:r w:rsidRPr="007343A2">
        <w:rPr>
          <w:rFonts w:ascii="Calibri" w:hAnsi="Calibri"/>
          <w:b/>
        </w:rPr>
        <w:t>parc</w:t>
      </w:r>
      <w:proofErr w:type="spellEnd"/>
      <w:r w:rsidRPr="007343A2">
        <w:rPr>
          <w:rFonts w:ascii="Calibri" w:hAnsi="Calibri"/>
          <w:b/>
        </w:rPr>
        <w:t>. č. 1243/1, v </w:t>
      </w:r>
      <w:proofErr w:type="spellStart"/>
      <w:proofErr w:type="gramStart"/>
      <w:r w:rsidRPr="007343A2">
        <w:rPr>
          <w:rFonts w:ascii="Calibri" w:hAnsi="Calibri"/>
          <w:b/>
        </w:rPr>
        <w:t>k.ú</w:t>
      </w:r>
      <w:proofErr w:type="spellEnd"/>
      <w:r w:rsidRPr="007343A2">
        <w:rPr>
          <w:rFonts w:ascii="Calibri" w:hAnsi="Calibri"/>
          <w:b/>
        </w:rPr>
        <w:t>.</w:t>
      </w:r>
      <w:proofErr w:type="gramEnd"/>
      <w:r w:rsidRPr="007343A2">
        <w:rPr>
          <w:rFonts w:ascii="Calibri" w:hAnsi="Calibri"/>
          <w:b/>
        </w:rPr>
        <w:t xml:space="preserve"> Netřebice u Nymburka</w:t>
      </w:r>
      <w:r>
        <w:rPr>
          <w:rFonts w:ascii="Calibri" w:hAnsi="Calibri"/>
        </w:rPr>
        <w:t>, a to o výměře 13.630m</w:t>
      </w:r>
      <w:r w:rsidRPr="002644C8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, druh pozemku orná půda</w:t>
      </w:r>
    </w:p>
    <w:p w14:paraId="7494CB44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B46E977" w14:textId="68ED9E5E" w:rsidR="003B00DE" w:rsidRPr="00106478" w:rsidRDefault="003B00DE" w:rsidP="003B00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Pachtýř se zavazuje užívat a požívat Předmět zemědělského pachtu v souladu se zákonem a touto smlouvou a platit Propachtovateli za toto užívání a požívání pachtovné. </w:t>
      </w:r>
    </w:p>
    <w:p w14:paraId="3A773427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A9B1C35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Čl. III. </w:t>
      </w:r>
    </w:p>
    <w:p w14:paraId="7B95DFA3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Doba pachtu </w:t>
      </w:r>
    </w:p>
    <w:p w14:paraId="3FB16DDF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14D0CF05" w14:textId="1653989A" w:rsidR="003B00DE" w:rsidRPr="00C835DC" w:rsidRDefault="003B00DE" w:rsidP="00106478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Pacht dle této smlouv</w:t>
      </w:r>
      <w:r w:rsidR="00990711" w:rsidRPr="00106478">
        <w:rPr>
          <w:rFonts w:asciiTheme="minorHAnsi" w:hAnsiTheme="minorHAnsi"/>
          <w:sz w:val="24"/>
          <w:szCs w:val="24"/>
        </w:rPr>
        <w:t xml:space="preserve">y se sjednává na dobu </w:t>
      </w:r>
      <w:r w:rsidR="00C835DC">
        <w:rPr>
          <w:rFonts w:asciiTheme="minorHAnsi" w:hAnsiTheme="minorHAnsi"/>
          <w:sz w:val="24"/>
          <w:szCs w:val="24"/>
        </w:rPr>
        <w:t>určitou a to</w:t>
      </w:r>
      <w:r w:rsidR="004A4543">
        <w:rPr>
          <w:rFonts w:asciiTheme="minorHAnsi" w:hAnsiTheme="minorHAnsi"/>
          <w:sz w:val="24"/>
          <w:szCs w:val="24"/>
        </w:rPr>
        <w:t xml:space="preserve"> </w:t>
      </w:r>
      <w:r w:rsidR="004A4543" w:rsidRPr="00C835DC">
        <w:rPr>
          <w:rFonts w:asciiTheme="minorHAnsi" w:hAnsiTheme="minorHAnsi"/>
          <w:b/>
          <w:sz w:val="24"/>
          <w:szCs w:val="24"/>
        </w:rPr>
        <w:t xml:space="preserve">od 1. 10. </w:t>
      </w:r>
      <w:r w:rsidR="00227BD4">
        <w:rPr>
          <w:rFonts w:asciiTheme="minorHAnsi" w:hAnsiTheme="minorHAnsi"/>
          <w:b/>
          <w:sz w:val="24"/>
          <w:szCs w:val="24"/>
        </w:rPr>
        <w:t>22</w:t>
      </w:r>
      <w:r w:rsidR="00C835DC" w:rsidRPr="00C835DC">
        <w:rPr>
          <w:rFonts w:asciiTheme="minorHAnsi" w:hAnsiTheme="minorHAnsi"/>
          <w:b/>
          <w:sz w:val="24"/>
          <w:szCs w:val="24"/>
        </w:rPr>
        <w:t xml:space="preserve"> do 30. 9. </w:t>
      </w:r>
      <w:r w:rsidR="00C835DC">
        <w:rPr>
          <w:rFonts w:asciiTheme="minorHAnsi" w:hAnsiTheme="minorHAnsi"/>
          <w:b/>
          <w:sz w:val="24"/>
          <w:szCs w:val="24"/>
        </w:rPr>
        <w:t>20</w:t>
      </w:r>
      <w:r w:rsidR="00227BD4">
        <w:rPr>
          <w:rFonts w:asciiTheme="minorHAnsi" w:hAnsiTheme="minorHAnsi"/>
          <w:b/>
          <w:sz w:val="24"/>
          <w:szCs w:val="24"/>
        </w:rPr>
        <w:t>3</w:t>
      </w:r>
      <w:r w:rsidR="00C835DC">
        <w:rPr>
          <w:rFonts w:asciiTheme="minorHAnsi" w:hAnsiTheme="minorHAnsi"/>
          <w:b/>
          <w:sz w:val="24"/>
          <w:szCs w:val="24"/>
        </w:rPr>
        <w:t>2</w:t>
      </w:r>
      <w:r w:rsidR="004A4543" w:rsidRPr="00C835DC">
        <w:rPr>
          <w:rFonts w:asciiTheme="minorHAnsi" w:hAnsiTheme="minorHAnsi"/>
          <w:b/>
          <w:sz w:val="24"/>
          <w:szCs w:val="24"/>
        </w:rPr>
        <w:t>.</w:t>
      </w:r>
      <w:r w:rsidRPr="00C835DC">
        <w:rPr>
          <w:rFonts w:asciiTheme="minorHAnsi" w:hAnsiTheme="minorHAnsi"/>
          <w:b/>
          <w:sz w:val="24"/>
          <w:szCs w:val="24"/>
        </w:rPr>
        <w:t xml:space="preserve"> </w:t>
      </w:r>
    </w:p>
    <w:p w14:paraId="29A29F7A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13BD8B5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Čl. IV. </w:t>
      </w:r>
    </w:p>
    <w:p w14:paraId="1FF5909E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>Pachtovné</w:t>
      </w:r>
    </w:p>
    <w:p w14:paraId="2AB9B06D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6614D1CF" w14:textId="7EF71CCC" w:rsidR="004A4543" w:rsidRDefault="003B00DE" w:rsidP="004A454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Pachtýř se zavazuje platit Propachtovateli za užívání a požívání </w:t>
      </w:r>
      <w:r w:rsidR="004A4543">
        <w:rPr>
          <w:rFonts w:asciiTheme="minorHAnsi" w:hAnsiTheme="minorHAnsi"/>
          <w:sz w:val="24"/>
          <w:szCs w:val="24"/>
        </w:rPr>
        <w:t>Pozemků</w:t>
      </w:r>
      <w:r w:rsidRPr="00106478">
        <w:rPr>
          <w:rFonts w:asciiTheme="minorHAnsi" w:hAnsiTheme="minorHAnsi"/>
          <w:sz w:val="24"/>
          <w:szCs w:val="24"/>
        </w:rPr>
        <w:t xml:space="preserve"> pac</w:t>
      </w:r>
      <w:r w:rsidR="00990711" w:rsidRPr="00106478">
        <w:rPr>
          <w:rFonts w:asciiTheme="minorHAnsi" w:hAnsiTheme="minorHAnsi"/>
          <w:sz w:val="24"/>
          <w:szCs w:val="24"/>
        </w:rPr>
        <w:t>htovné</w:t>
      </w:r>
      <w:r w:rsidR="004A4543">
        <w:rPr>
          <w:rFonts w:asciiTheme="minorHAnsi" w:hAnsiTheme="minorHAnsi"/>
          <w:sz w:val="24"/>
          <w:szCs w:val="24"/>
        </w:rPr>
        <w:t xml:space="preserve"> v následující výši s ohledem na katastrální území, ve kterém se Pozemky nacházejí:</w:t>
      </w:r>
    </w:p>
    <w:p w14:paraId="31FD0AB6" w14:textId="77777777" w:rsidR="004A4543" w:rsidRDefault="004A4543" w:rsidP="004A454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0B213D3" w14:textId="5FB2B9AF" w:rsidR="00106478" w:rsidRDefault="0041224E" w:rsidP="004A454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 pozemku </w:t>
      </w:r>
      <w:proofErr w:type="spellStart"/>
      <w:r>
        <w:rPr>
          <w:rFonts w:asciiTheme="minorHAnsi" w:hAnsiTheme="minorHAnsi"/>
          <w:sz w:val="24"/>
          <w:szCs w:val="24"/>
        </w:rPr>
        <w:t>parc</w:t>
      </w:r>
      <w:proofErr w:type="spellEnd"/>
      <w:r>
        <w:rPr>
          <w:rFonts w:asciiTheme="minorHAnsi" w:hAnsiTheme="minorHAnsi"/>
          <w:sz w:val="24"/>
          <w:szCs w:val="24"/>
        </w:rPr>
        <w:t xml:space="preserve">. č. </w:t>
      </w:r>
      <w:r w:rsidR="00227BD4">
        <w:rPr>
          <w:rFonts w:asciiTheme="minorHAnsi" w:hAnsiTheme="minorHAnsi"/>
          <w:sz w:val="24"/>
          <w:szCs w:val="24"/>
        </w:rPr>
        <w:t>1231 a 1234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k.ú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Netřebice u Nymburka,</w:t>
      </w:r>
      <w:r w:rsidR="004A4543">
        <w:rPr>
          <w:rFonts w:asciiTheme="minorHAnsi" w:hAnsiTheme="minorHAnsi"/>
          <w:sz w:val="24"/>
          <w:szCs w:val="24"/>
        </w:rPr>
        <w:t xml:space="preserve"> ve výši</w:t>
      </w:r>
      <w:r w:rsidR="00990711" w:rsidRPr="004A4543">
        <w:rPr>
          <w:rFonts w:asciiTheme="minorHAnsi" w:hAnsiTheme="minorHAnsi"/>
          <w:sz w:val="24"/>
          <w:szCs w:val="24"/>
        </w:rPr>
        <w:t xml:space="preserve"> </w:t>
      </w:r>
      <w:r w:rsidR="00796721">
        <w:rPr>
          <w:rFonts w:asciiTheme="minorHAnsi" w:hAnsiTheme="minorHAnsi"/>
          <w:sz w:val="24"/>
          <w:szCs w:val="24"/>
        </w:rPr>
        <w:t>[</w:t>
      </w:r>
      <w:r w:rsidR="00796721" w:rsidRPr="00762096">
        <w:rPr>
          <w:rFonts w:asciiTheme="minorHAnsi" w:hAnsiTheme="minorHAnsi"/>
          <w:sz w:val="24"/>
          <w:szCs w:val="24"/>
          <w:highlight w:val="yellow"/>
        </w:rPr>
        <w:t xml:space="preserve">bude doplněno, minimálně však </w:t>
      </w:r>
      <w:r w:rsidR="00227BD4">
        <w:rPr>
          <w:rFonts w:asciiTheme="minorHAnsi" w:hAnsiTheme="minorHAnsi"/>
          <w:sz w:val="24"/>
          <w:szCs w:val="24"/>
          <w:highlight w:val="yellow"/>
        </w:rPr>
        <w:t>2.000</w:t>
      </w:r>
      <w:r w:rsidR="00990711" w:rsidRPr="00762096">
        <w:rPr>
          <w:rFonts w:asciiTheme="minorHAnsi" w:hAnsiTheme="minorHAnsi"/>
          <w:sz w:val="24"/>
          <w:szCs w:val="24"/>
          <w:highlight w:val="yellow"/>
        </w:rPr>
        <w:t>,-</w:t>
      </w:r>
      <w:r w:rsidR="003B00DE" w:rsidRPr="00762096">
        <w:rPr>
          <w:rFonts w:asciiTheme="minorHAnsi" w:hAnsiTheme="minorHAnsi"/>
          <w:sz w:val="24"/>
          <w:szCs w:val="24"/>
          <w:highlight w:val="yellow"/>
        </w:rPr>
        <w:t xml:space="preserve"> Kč</w:t>
      </w:r>
      <w:r w:rsidR="00990711" w:rsidRPr="00762096">
        <w:rPr>
          <w:rFonts w:asciiTheme="minorHAnsi" w:hAnsiTheme="minorHAnsi"/>
          <w:sz w:val="24"/>
          <w:szCs w:val="24"/>
          <w:highlight w:val="yellow"/>
        </w:rPr>
        <w:t>/ha</w:t>
      </w:r>
      <w:r w:rsidR="00762096">
        <w:rPr>
          <w:rFonts w:asciiTheme="minorHAnsi" w:hAnsiTheme="minorHAnsi"/>
          <w:sz w:val="24"/>
          <w:szCs w:val="24"/>
        </w:rPr>
        <w:t>]</w:t>
      </w:r>
      <w:r w:rsidR="00990711" w:rsidRPr="004A4543">
        <w:rPr>
          <w:rFonts w:asciiTheme="minorHAnsi" w:hAnsiTheme="minorHAnsi"/>
          <w:sz w:val="24"/>
          <w:szCs w:val="24"/>
        </w:rPr>
        <w:t xml:space="preserve"> za pachtovní rok</w:t>
      </w:r>
      <w:r w:rsidR="004A4543">
        <w:rPr>
          <w:rFonts w:asciiTheme="minorHAnsi" w:hAnsiTheme="minorHAnsi"/>
          <w:sz w:val="24"/>
          <w:szCs w:val="24"/>
        </w:rPr>
        <w:t>;</w:t>
      </w:r>
    </w:p>
    <w:p w14:paraId="088B3556" w14:textId="77777777" w:rsidR="00762096" w:rsidRDefault="00762096" w:rsidP="0076209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</w:p>
    <w:p w14:paraId="43B7B805" w14:textId="3F44A5DF" w:rsidR="0041224E" w:rsidRDefault="0041224E" w:rsidP="0041224E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 pozemků </w:t>
      </w:r>
      <w:proofErr w:type="spellStart"/>
      <w:r>
        <w:rPr>
          <w:rFonts w:asciiTheme="minorHAnsi" w:hAnsiTheme="minorHAnsi"/>
          <w:sz w:val="24"/>
          <w:szCs w:val="24"/>
        </w:rPr>
        <w:t>parc</w:t>
      </w:r>
      <w:proofErr w:type="spellEnd"/>
      <w:r>
        <w:rPr>
          <w:rFonts w:asciiTheme="minorHAnsi" w:hAnsiTheme="minorHAnsi"/>
          <w:sz w:val="24"/>
          <w:szCs w:val="24"/>
        </w:rPr>
        <w:t xml:space="preserve">. č. </w:t>
      </w:r>
      <w:r w:rsidR="00227BD4">
        <w:rPr>
          <w:rFonts w:asciiTheme="minorHAnsi" w:hAnsiTheme="minorHAnsi"/>
          <w:sz w:val="24"/>
          <w:szCs w:val="24"/>
        </w:rPr>
        <w:t>95, 1004, 1013, 1017, 1032, 1049, 1051, 1064, 1067, 1068, 1070, 1084, 1086, 1096, 1106, 1112, 1117, 1126, 1129, 1143, 1145, 1200, 1202, 1209, 1215, 1245, 1248, 1261, 1263 a 1243/1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k.ú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Netřebice u Nymburka ve výši</w:t>
      </w:r>
      <w:r w:rsidRPr="004A4543">
        <w:rPr>
          <w:rFonts w:asciiTheme="minorHAnsi" w:hAnsiTheme="minorHAnsi"/>
          <w:sz w:val="24"/>
          <w:szCs w:val="24"/>
        </w:rPr>
        <w:t xml:space="preserve"> </w:t>
      </w:r>
      <w:r w:rsidR="00762096">
        <w:rPr>
          <w:rFonts w:asciiTheme="minorHAnsi" w:hAnsiTheme="minorHAnsi"/>
          <w:sz w:val="24"/>
          <w:szCs w:val="24"/>
        </w:rPr>
        <w:t>[</w:t>
      </w:r>
      <w:r w:rsidR="00762096" w:rsidRPr="00762096">
        <w:rPr>
          <w:rFonts w:asciiTheme="minorHAnsi" w:hAnsiTheme="minorHAnsi"/>
          <w:sz w:val="24"/>
          <w:szCs w:val="24"/>
          <w:highlight w:val="yellow"/>
        </w:rPr>
        <w:t xml:space="preserve">bude doplněno, minimálně však </w:t>
      </w:r>
      <w:r w:rsidR="00227BD4">
        <w:rPr>
          <w:rFonts w:asciiTheme="minorHAnsi" w:hAnsiTheme="minorHAnsi"/>
          <w:sz w:val="24"/>
          <w:szCs w:val="24"/>
          <w:highlight w:val="yellow"/>
        </w:rPr>
        <w:t>6.000</w:t>
      </w:r>
      <w:r w:rsidR="00762096" w:rsidRPr="00762096">
        <w:rPr>
          <w:rFonts w:asciiTheme="minorHAnsi" w:hAnsiTheme="minorHAnsi"/>
          <w:sz w:val="24"/>
          <w:szCs w:val="24"/>
          <w:highlight w:val="yellow"/>
        </w:rPr>
        <w:t>,- Kč/ha</w:t>
      </w:r>
      <w:r w:rsidR="00762096">
        <w:rPr>
          <w:rFonts w:asciiTheme="minorHAnsi" w:hAnsiTheme="minorHAnsi"/>
          <w:sz w:val="24"/>
          <w:szCs w:val="24"/>
        </w:rPr>
        <w:t>]</w:t>
      </w:r>
      <w:r w:rsidRPr="004A4543">
        <w:rPr>
          <w:rFonts w:asciiTheme="minorHAnsi" w:hAnsiTheme="minorHAnsi"/>
          <w:sz w:val="24"/>
          <w:szCs w:val="24"/>
        </w:rPr>
        <w:t xml:space="preserve"> za pachtovní rok</w:t>
      </w:r>
      <w:r>
        <w:rPr>
          <w:rFonts w:asciiTheme="minorHAnsi" w:hAnsiTheme="minorHAnsi"/>
          <w:sz w:val="24"/>
          <w:szCs w:val="24"/>
        </w:rPr>
        <w:t>;</w:t>
      </w:r>
    </w:p>
    <w:p w14:paraId="22C2A9FF" w14:textId="77777777" w:rsidR="004A4543" w:rsidRPr="004A4543" w:rsidRDefault="004A4543" w:rsidP="004A4543">
      <w:pPr>
        <w:pStyle w:val="Odstavecseseznamem"/>
        <w:rPr>
          <w:rFonts w:asciiTheme="minorHAnsi" w:hAnsiTheme="minorHAnsi"/>
          <w:sz w:val="24"/>
          <w:szCs w:val="24"/>
        </w:rPr>
      </w:pPr>
    </w:p>
    <w:p w14:paraId="6ACD11F9" w14:textId="0DD4C66A" w:rsidR="004A4543" w:rsidRDefault="004A4543" w:rsidP="004A454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Celková výše pachtovaného dle této Smlouvy tedy činí [</w:t>
      </w:r>
      <w:r w:rsidRPr="004A4543">
        <w:rPr>
          <w:rFonts w:asciiTheme="minorHAnsi" w:hAnsiTheme="minorHAnsi"/>
          <w:sz w:val="24"/>
          <w:szCs w:val="24"/>
          <w:highlight w:val="yellow"/>
        </w:rPr>
        <w:t>bude doplněno</w:t>
      </w:r>
      <w:r>
        <w:rPr>
          <w:rFonts w:asciiTheme="minorHAnsi" w:hAnsiTheme="minorHAnsi"/>
          <w:sz w:val="24"/>
          <w:szCs w:val="24"/>
        </w:rPr>
        <w:t>],- Kč.</w:t>
      </w:r>
    </w:p>
    <w:p w14:paraId="58375A85" w14:textId="77777777" w:rsidR="004A4543" w:rsidRDefault="004A4543" w:rsidP="004A454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2D2CEC1" w14:textId="31764B6A" w:rsidR="00106478" w:rsidRPr="00106478" w:rsidRDefault="00106478" w:rsidP="00106478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lastRenderedPageBreak/>
        <w:t xml:space="preserve">Pachtovné je </w:t>
      </w:r>
      <w:r>
        <w:rPr>
          <w:rFonts w:asciiTheme="minorHAnsi" w:hAnsiTheme="minorHAnsi"/>
          <w:sz w:val="24"/>
          <w:szCs w:val="24"/>
        </w:rPr>
        <w:t xml:space="preserve">splatné </w:t>
      </w:r>
      <w:r w:rsidR="0041224E">
        <w:rPr>
          <w:rFonts w:asciiTheme="minorHAnsi" w:hAnsiTheme="minorHAnsi"/>
          <w:sz w:val="24"/>
          <w:szCs w:val="24"/>
        </w:rPr>
        <w:t>jednou</w:t>
      </w:r>
      <w:r>
        <w:rPr>
          <w:rFonts w:asciiTheme="minorHAnsi" w:hAnsiTheme="minorHAnsi"/>
          <w:sz w:val="24"/>
          <w:szCs w:val="24"/>
        </w:rPr>
        <w:t xml:space="preserve"> ročně</w:t>
      </w:r>
      <w:r w:rsidR="0041224E">
        <w:rPr>
          <w:rFonts w:asciiTheme="minorHAnsi" w:hAnsiTheme="minorHAnsi"/>
          <w:sz w:val="24"/>
          <w:szCs w:val="24"/>
        </w:rPr>
        <w:t xml:space="preserve">, </w:t>
      </w:r>
      <w:r w:rsidRPr="00106478">
        <w:rPr>
          <w:rFonts w:asciiTheme="minorHAnsi" w:hAnsiTheme="minorHAnsi"/>
          <w:sz w:val="24"/>
          <w:szCs w:val="24"/>
        </w:rPr>
        <w:t>a</w:t>
      </w:r>
      <w:r w:rsidR="0041224E">
        <w:rPr>
          <w:rFonts w:asciiTheme="minorHAnsi" w:hAnsiTheme="minorHAnsi"/>
          <w:sz w:val="24"/>
          <w:szCs w:val="24"/>
        </w:rPr>
        <w:t xml:space="preserve"> to vždy k</w:t>
      </w:r>
      <w:r w:rsidRPr="00106478">
        <w:rPr>
          <w:rFonts w:asciiTheme="minorHAnsi" w:hAnsiTheme="minorHAnsi"/>
          <w:sz w:val="24"/>
          <w:szCs w:val="24"/>
        </w:rPr>
        <w:t xml:space="preserve"> </w:t>
      </w:r>
      <w:r w:rsidR="0041224E">
        <w:rPr>
          <w:rFonts w:asciiTheme="minorHAnsi" w:hAnsiTheme="minorHAnsi"/>
          <w:sz w:val="24"/>
          <w:szCs w:val="24"/>
        </w:rPr>
        <w:t>31</w:t>
      </w:r>
      <w:r w:rsidRPr="00106478">
        <w:rPr>
          <w:rFonts w:asciiTheme="minorHAnsi" w:hAnsiTheme="minorHAnsi"/>
          <w:sz w:val="24"/>
          <w:szCs w:val="24"/>
        </w:rPr>
        <w:t xml:space="preserve">. </w:t>
      </w:r>
      <w:r w:rsidR="0041224E">
        <w:rPr>
          <w:rFonts w:asciiTheme="minorHAnsi" w:hAnsiTheme="minorHAnsi"/>
          <w:sz w:val="24"/>
          <w:szCs w:val="24"/>
        </w:rPr>
        <w:t>12.</w:t>
      </w:r>
      <w:r w:rsidRPr="00106478">
        <w:rPr>
          <w:rFonts w:asciiTheme="minorHAnsi" w:hAnsiTheme="minorHAnsi"/>
          <w:sz w:val="24"/>
          <w:szCs w:val="24"/>
        </w:rPr>
        <w:t xml:space="preserve"> následujícího pachtovního roku, a to převodem na bankovní účet </w:t>
      </w:r>
      <w:r>
        <w:rPr>
          <w:rFonts w:asciiTheme="minorHAnsi" w:hAnsiTheme="minorHAnsi"/>
          <w:sz w:val="24"/>
          <w:szCs w:val="24"/>
        </w:rPr>
        <w:t>P</w:t>
      </w:r>
      <w:r w:rsidRPr="00106478">
        <w:rPr>
          <w:rFonts w:asciiTheme="minorHAnsi" w:hAnsiTheme="minorHAnsi"/>
          <w:sz w:val="24"/>
          <w:szCs w:val="24"/>
        </w:rPr>
        <w:t xml:space="preserve">ropachtovatele č. </w:t>
      </w:r>
      <w:r w:rsidR="0041224E" w:rsidRPr="0041224E">
        <w:rPr>
          <w:rFonts w:asciiTheme="minorHAnsi" w:hAnsiTheme="minorHAnsi"/>
          <w:sz w:val="24"/>
          <w:szCs w:val="24"/>
        </w:rPr>
        <w:t>33121191</w:t>
      </w:r>
      <w:r w:rsidRPr="00106478">
        <w:rPr>
          <w:rFonts w:asciiTheme="minorHAnsi" w:hAnsiTheme="minorHAnsi"/>
          <w:sz w:val="24"/>
          <w:szCs w:val="24"/>
        </w:rPr>
        <w:t>/0100.</w:t>
      </w:r>
    </w:p>
    <w:p w14:paraId="1C52C95D" w14:textId="77777777" w:rsidR="00106478" w:rsidRDefault="00106478" w:rsidP="0010647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3A304" w14:textId="77777777" w:rsidR="003B00DE" w:rsidRDefault="003B00DE" w:rsidP="003B00D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Pro včasnost platby je rozhodující den připsání platby na účet Propachtovatele. </w:t>
      </w:r>
    </w:p>
    <w:p w14:paraId="3991AD11" w14:textId="77777777" w:rsidR="00106478" w:rsidRDefault="00106478" w:rsidP="00106478">
      <w:pPr>
        <w:pStyle w:val="Odstavecseseznamem"/>
        <w:rPr>
          <w:rFonts w:asciiTheme="minorHAnsi" w:hAnsiTheme="minorHAnsi"/>
          <w:sz w:val="24"/>
          <w:szCs w:val="24"/>
        </w:rPr>
      </w:pPr>
    </w:p>
    <w:p w14:paraId="1CE8BE92" w14:textId="77777777" w:rsidR="002722CA" w:rsidRDefault="00AF48AE" w:rsidP="0046218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 výši</w:t>
      </w:r>
      <w:r w:rsidR="002722CA" w:rsidRPr="002722CA">
        <w:rPr>
          <w:rFonts w:asciiTheme="minorHAnsi" w:hAnsiTheme="minorHAnsi"/>
          <w:sz w:val="24"/>
          <w:szCs w:val="24"/>
        </w:rPr>
        <w:t xml:space="preserve"> pacht</w:t>
      </w:r>
      <w:r>
        <w:rPr>
          <w:rFonts w:asciiTheme="minorHAnsi" w:hAnsiTheme="minorHAnsi"/>
          <w:sz w:val="24"/>
          <w:szCs w:val="24"/>
        </w:rPr>
        <w:t>ovného je</w:t>
      </w:r>
      <w:r w:rsidR="002722CA" w:rsidRPr="002722CA">
        <w:rPr>
          <w:rFonts w:asciiTheme="minorHAnsi" w:hAnsiTheme="minorHAnsi"/>
          <w:sz w:val="24"/>
          <w:szCs w:val="24"/>
        </w:rPr>
        <w:t xml:space="preserve"> zahrnuta částka, která odpovídá výši daně z nemovitosti, </w:t>
      </w:r>
      <w:r w:rsidR="002722CA">
        <w:rPr>
          <w:rFonts w:asciiTheme="minorHAnsi" w:hAnsiTheme="minorHAnsi"/>
          <w:sz w:val="24"/>
          <w:szCs w:val="24"/>
        </w:rPr>
        <w:t>kterou je u těchto pozemků povinen uhradit P</w:t>
      </w:r>
      <w:r w:rsidR="002722CA" w:rsidRPr="002722CA">
        <w:rPr>
          <w:rFonts w:asciiTheme="minorHAnsi" w:hAnsiTheme="minorHAnsi"/>
          <w:sz w:val="24"/>
          <w:szCs w:val="24"/>
        </w:rPr>
        <w:t>ropachtovatel</w:t>
      </w:r>
      <w:r w:rsidR="002722CA">
        <w:rPr>
          <w:rFonts w:asciiTheme="minorHAnsi" w:hAnsiTheme="minorHAnsi"/>
          <w:sz w:val="24"/>
          <w:szCs w:val="24"/>
        </w:rPr>
        <w:t>.</w:t>
      </w:r>
    </w:p>
    <w:p w14:paraId="27E3A395" w14:textId="77777777" w:rsidR="002722CA" w:rsidRPr="002722CA" w:rsidRDefault="002722CA" w:rsidP="0046218A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14:paraId="63075BFA" w14:textId="77777777" w:rsidR="002722CA" w:rsidRPr="00106478" w:rsidRDefault="002722CA" w:rsidP="002722C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2722CA">
        <w:rPr>
          <w:rFonts w:asciiTheme="minorHAnsi" w:hAnsiTheme="minorHAnsi"/>
          <w:sz w:val="24"/>
          <w:szCs w:val="24"/>
        </w:rPr>
        <w:t>Pokud dojde během trvání účinnosti této smlouvy k změně výše daně z nemovitosti, kterou je povi</w:t>
      </w:r>
      <w:r>
        <w:rPr>
          <w:rFonts w:asciiTheme="minorHAnsi" w:hAnsiTheme="minorHAnsi"/>
          <w:sz w:val="24"/>
          <w:szCs w:val="24"/>
        </w:rPr>
        <w:t>nen P</w:t>
      </w:r>
      <w:r w:rsidRPr="002722CA">
        <w:rPr>
          <w:rFonts w:asciiTheme="minorHAnsi" w:hAnsiTheme="minorHAnsi"/>
          <w:sz w:val="24"/>
          <w:szCs w:val="24"/>
        </w:rPr>
        <w:t xml:space="preserve">ropachtovatel uhradit, potom se výše pachtovného u dotčených pozemků odpovídajícím způsobem změní. V tomto případě jsou obě smluvní strany povinny uzavřít do 30 dnů cenový dodatek měnící výši </w:t>
      </w:r>
      <w:r>
        <w:rPr>
          <w:rFonts w:asciiTheme="minorHAnsi" w:hAnsiTheme="minorHAnsi"/>
          <w:sz w:val="24"/>
          <w:szCs w:val="24"/>
        </w:rPr>
        <w:t>pachtovného</w:t>
      </w:r>
      <w:r w:rsidRPr="002722CA">
        <w:rPr>
          <w:rFonts w:asciiTheme="minorHAnsi" w:hAnsiTheme="minorHAnsi"/>
          <w:sz w:val="24"/>
          <w:szCs w:val="24"/>
        </w:rPr>
        <w:t xml:space="preserve"> s účinností od následujícího pachtovního roku</w:t>
      </w:r>
    </w:p>
    <w:p w14:paraId="2C605F49" w14:textId="77777777" w:rsidR="00106478" w:rsidRPr="00106478" w:rsidRDefault="00106478" w:rsidP="0010647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29890E3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Čl. V. </w:t>
      </w:r>
    </w:p>
    <w:p w14:paraId="21FB31D4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Práva a povinnosti Propachtovatele </w:t>
      </w:r>
    </w:p>
    <w:p w14:paraId="3CB351EE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465AEEFA" w14:textId="77777777" w:rsidR="003B00DE" w:rsidRPr="00106478" w:rsidRDefault="003B00DE" w:rsidP="003B00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Propachtovatel má vůči Pachtýři za přenechání Předmětu zemědělského pachtu k užívání a požívání pro účel vymezený dle čl. II. odst. 1. smlouvy právo na zaplacení pachtovného. </w:t>
      </w:r>
    </w:p>
    <w:p w14:paraId="298ECCA8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64E08B8" w14:textId="5516D9A6" w:rsidR="003B00DE" w:rsidRPr="00106478" w:rsidRDefault="003B00DE" w:rsidP="003B00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Propachtovatel se zavazuje předat Pachtýři Předmět zemědělského pachtu, </w:t>
      </w:r>
      <w:r w:rsidR="0018615A">
        <w:rPr>
          <w:rFonts w:asciiTheme="minorHAnsi" w:hAnsiTheme="minorHAnsi"/>
          <w:sz w:val="24"/>
          <w:szCs w:val="24"/>
        </w:rPr>
        <w:t>do 3</w:t>
      </w:r>
      <w:r w:rsidRPr="00106478">
        <w:rPr>
          <w:rFonts w:asciiTheme="minorHAnsi" w:hAnsiTheme="minorHAnsi"/>
          <w:sz w:val="24"/>
          <w:szCs w:val="24"/>
        </w:rPr>
        <w:t xml:space="preserve"> pracovních</w:t>
      </w:r>
      <w:r w:rsidR="0018615A">
        <w:rPr>
          <w:rFonts w:asciiTheme="minorHAnsi" w:hAnsiTheme="minorHAnsi"/>
          <w:sz w:val="24"/>
          <w:szCs w:val="24"/>
        </w:rPr>
        <w:t xml:space="preserve"> dnů</w:t>
      </w:r>
      <w:r w:rsidRPr="00106478">
        <w:rPr>
          <w:rFonts w:asciiTheme="minorHAnsi" w:hAnsiTheme="minorHAnsi"/>
          <w:sz w:val="24"/>
          <w:szCs w:val="24"/>
        </w:rPr>
        <w:t xml:space="preserve"> </w:t>
      </w:r>
      <w:r w:rsidR="0018615A">
        <w:rPr>
          <w:rFonts w:asciiTheme="minorHAnsi" w:hAnsiTheme="minorHAnsi"/>
          <w:sz w:val="24"/>
          <w:szCs w:val="24"/>
        </w:rPr>
        <w:t>od účinnosti této smlouvy.</w:t>
      </w:r>
    </w:p>
    <w:p w14:paraId="5AB163D1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040E3FA" w14:textId="45F04860" w:rsidR="00AF48AE" w:rsidRDefault="00AF48AE" w:rsidP="003B00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F48AE">
        <w:rPr>
          <w:rFonts w:asciiTheme="minorHAnsi" w:hAnsiTheme="minorHAnsi"/>
          <w:sz w:val="24"/>
          <w:szCs w:val="24"/>
        </w:rPr>
        <w:t xml:space="preserve">Propachtovatel je oprávněn změnit </w:t>
      </w:r>
      <w:r>
        <w:rPr>
          <w:rFonts w:asciiTheme="minorHAnsi" w:hAnsiTheme="minorHAnsi"/>
          <w:sz w:val="24"/>
          <w:szCs w:val="24"/>
        </w:rPr>
        <w:t>P</w:t>
      </w:r>
      <w:r w:rsidRPr="00AF48AE">
        <w:rPr>
          <w:rFonts w:asciiTheme="minorHAnsi" w:hAnsiTheme="minorHAnsi"/>
          <w:sz w:val="24"/>
          <w:szCs w:val="24"/>
        </w:rPr>
        <w:t xml:space="preserve">ředmět zemědělského </w:t>
      </w:r>
      <w:r w:rsidR="00BD7CCB">
        <w:rPr>
          <w:rFonts w:asciiTheme="minorHAnsi" w:hAnsiTheme="minorHAnsi"/>
          <w:sz w:val="24"/>
          <w:szCs w:val="24"/>
        </w:rPr>
        <w:t>p</w:t>
      </w:r>
      <w:r w:rsidR="00BD7CCB" w:rsidRPr="00AF48AE">
        <w:rPr>
          <w:rFonts w:asciiTheme="minorHAnsi" w:hAnsiTheme="minorHAnsi"/>
          <w:sz w:val="24"/>
          <w:szCs w:val="24"/>
        </w:rPr>
        <w:t>achtu,</w:t>
      </w:r>
      <w:r w:rsidRPr="00AF48AE">
        <w:rPr>
          <w:rFonts w:asciiTheme="minorHAnsi" w:hAnsiTheme="minorHAnsi"/>
          <w:sz w:val="24"/>
          <w:szCs w:val="24"/>
        </w:rPr>
        <w:t xml:space="preserve"> a to vyjmutím propachtovaných </w:t>
      </w:r>
      <w:r>
        <w:rPr>
          <w:rFonts w:asciiTheme="minorHAnsi" w:hAnsiTheme="minorHAnsi"/>
          <w:sz w:val="24"/>
          <w:szCs w:val="24"/>
        </w:rPr>
        <w:t>P</w:t>
      </w:r>
      <w:r w:rsidRPr="00AF48AE">
        <w:rPr>
          <w:rFonts w:asciiTheme="minorHAnsi" w:hAnsiTheme="minorHAnsi"/>
          <w:sz w:val="24"/>
          <w:szCs w:val="24"/>
        </w:rPr>
        <w:t>ozemků nebo jejich částí z předmětu sml</w:t>
      </w:r>
      <w:r>
        <w:rPr>
          <w:rFonts w:asciiTheme="minorHAnsi" w:hAnsiTheme="minorHAnsi"/>
          <w:sz w:val="24"/>
          <w:szCs w:val="24"/>
        </w:rPr>
        <w:t>ouvy. Záměr provést takovou změnu je povi</w:t>
      </w:r>
      <w:r w:rsidRPr="00AF48AE">
        <w:rPr>
          <w:rFonts w:asciiTheme="minorHAnsi" w:hAnsiTheme="minorHAnsi"/>
          <w:sz w:val="24"/>
          <w:szCs w:val="24"/>
        </w:rPr>
        <w:t xml:space="preserve">nen oznámit </w:t>
      </w:r>
      <w:r>
        <w:rPr>
          <w:rFonts w:asciiTheme="minorHAnsi" w:hAnsiTheme="minorHAnsi"/>
          <w:sz w:val="24"/>
          <w:szCs w:val="24"/>
        </w:rPr>
        <w:t>P</w:t>
      </w:r>
      <w:r w:rsidRPr="00AF48AE">
        <w:rPr>
          <w:rFonts w:asciiTheme="minorHAnsi" w:hAnsiTheme="minorHAnsi"/>
          <w:sz w:val="24"/>
          <w:szCs w:val="24"/>
        </w:rPr>
        <w:t>achtýři nejpozději šest měsícům před začátkem pachtovního roku, od jehož počátku má</w:t>
      </w:r>
      <w:r>
        <w:rPr>
          <w:rFonts w:asciiTheme="minorHAnsi" w:hAnsiTheme="minorHAnsi"/>
          <w:sz w:val="24"/>
          <w:szCs w:val="24"/>
        </w:rPr>
        <w:t xml:space="preserve"> změna platit. Pachtýř je povin</w:t>
      </w:r>
      <w:r w:rsidRPr="00AF48AE">
        <w:rPr>
          <w:rFonts w:asciiTheme="minorHAnsi" w:hAnsiTheme="minorHAnsi"/>
          <w:sz w:val="24"/>
          <w:szCs w:val="24"/>
        </w:rPr>
        <w:t>en změnu při</w:t>
      </w:r>
      <w:r w:rsidR="0018615A">
        <w:rPr>
          <w:rFonts w:asciiTheme="minorHAnsi" w:hAnsiTheme="minorHAnsi"/>
          <w:sz w:val="24"/>
          <w:szCs w:val="24"/>
        </w:rPr>
        <w:t>jmout.</w:t>
      </w:r>
    </w:p>
    <w:p w14:paraId="1476CB1C" w14:textId="77777777" w:rsidR="00AF48AE" w:rsidRDefault="00AF48AE" w:rsidP="00AF48AE">
      <w:pPr>
        <w:pStyle w:val="Odstavecseseznamem"/>
        <w:rPr>
          <w:rFonts w:asciiTheme="minorHAnsi" w:hAnsiTheme="minorHAnsi"/>
          <w:sz w:val="24"/>
          <w:szCs w:val="24"/>
        </w:rPr>
      </w:pPr>
    </w:p>
    <w:p w14:paraId="119CC7BC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Čl. VI. </w:t>
      </w:r>
    </w:p>
    <w:p w14:paraId="46A73869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Práva a povinnosti Pachtýře </w:t>
      </w:r>
    </w:p>
    <w:p w14:paraId="182BE811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6772986F" w14:textId="77777777" w:rsidR="003B00DE" w:rsidRPr="00106478" w:rsidRDefault="003B00DE" w:rsidP="003B00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Pachtýř je oprávněn užívat a požívat Předmět zemědělského pachtu pouze k účelu, který účastníci sjednali v čl. II. odst. 1. smlouvy. </w:t>
      </w:r>
    </w:p>
    <w:p w14:paraId="324EC65F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31D0182" w14:textId="77777777" w:rsidR="003B00DE" w:rsidRPr="00106478" w:rsidRDefault="003B00DE" w:rsidP="003B00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Pachtýř hradí náklady spojené s běžnou údržbou Předmětu zemědělského pachtu a drobné opravy na něm. </w:t>
      </w:r>
    </w:p>
    <w:p w14:paraId="5ACF8748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685B1B1" w14:textId="74B8F987" w:rsidR="003B00DE" w:rsidRPr="00106478" w:rsidRDefault="003B00DE" w:rsidP="003B00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Pachtýř je povinen bez zbytečného odkladu oznámit Propachtovateli potřebu těch oprav Předmětu zemědělského pachtu, které je povinen provést Propachtovatel a umožnit mu jejich provedení, jinak Pachtýř odpovídá za škodu, která nesplněním této povinnosti vznikla. </w:t>
      </w:r>
    </w:p>
    <w:p w14:paraId="31FEB9A7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Theme="minorHAnsi" w:hAnsiTheme="minorHAnsi"/>
          <w:sz w:val="24"/>
          <w:szCs w:val="24"/>
        </w:rPr>
      </w:pPr>
    </w:p>
    <w:p w14:paraId="52DF0F2A" w14:textId="77777777" w:rsidR="003B00DE" w:rsidRDefault="003B00DE" w:rsidP="003B00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Pachtýř nesmí provádět na Předmětu zemědělského pachtu žádné terénní nebo </w:t>
      </w:r>
      <w:r w:rsidRPr="00106478">
        <w:rPr>
          <w:rFonts w:asciiTheme="minorHAnsi" w:hAnsiTheme="minorHAnsi"/>
          <w:sz w:val="24"/>
          <w:szCs w:val="24"/>
        </w:rPr>
        <w:lastRenderedPageBreak/>
        <w:t xml:space="preserve">stavební úpravy ani podstatné změny, které by měnily jeho hospodářské určení, ani měnit způsob jejího užívání a požívání, bez souhlasu Propachtovatele, a to ani na svůj náklad. </w:t>
      </w:r>
    </w:p>
    <w:p w14:paraId="291BFDBC" w14:textId="7C079671" w:rsidR="0018615A" w:rsidRPr="0018615A" w:rsidRDefault="0018615A" w:rsidP="00186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8615A">
        <w:rPr>
          <w:rFonts w:asciiTheme="minorHAnsi" w:hAnsiTheme="minorHAnsi"/>
          <w:sz w:val="24"/>
          <w:szCs w:val="24"/>
        </w:rPr>
        <w:t xml:space="preserve">Pachtýř není oprávněn k umístění dočasných staveb na </w:t>
      </w:r>
      <w:r>
        <w:rPr>
          <w:rFonts w:asciiTheme="minorHAnsi" w:hAnsiTheme="minorHAnsi"/>
          <w:sz w:val="24"/>
          <w:szCs w:val="24"/>
        </w:rPr>
        <w:t>Předmětu zemědělského pachtu</w:t>
      </w:r>
      <w:r w:rsidRPr="0018615A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Dále není </w:t>
      </w:r>
      <w:r w:rsidRPr="0018615A">
        <w:rPr>
          <w:rFonts w:asciiTheme="minorHAnsi" w:hAnsiTheme="minorHAnsi"/>
          <w:sz w:val="24"/>
          <w:szCs w:val="24"/>
        </w:rPr>
        <w:t xml:space="preserve">Pachtýř oprávněn vysazovat na Předmětu zemědělského pachtu trvalé porosty.  </w:t>
      </w:r>
    </w:p>
    <w:p w14:paraId="5255A3C9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FFEAC8D" w14:textId="7CDFCC8F" w:rsidR="0018615A" w:rsidRPr="0018615A" w:rsidRDefault="0018615A" w:rsidP="00186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Odkaznakoment"/>
          <w:rFonts w:asciiTheme="minorHAnsi" w:hAnsiTheme="minorHAnsi"/>
          <w:sz w:val="24"/>
          <w:szCs w:val="24"/>
        </w:rPr>
      </w:pPr>
      <w:r w:rsidRPr="0018615A">
        <w:rPr>
          <w:rFonts w:asciiTheme="minorHAnsi" w:hAnsiTheme="minorHAnsi"/>
          <w:sz w:val="24"/>
          <w:szCs w:val="24"/>
        </w:rPr>
        <w:t xml:space="preserve">Pachtýř </w:t>
      </w:r>
      <w:r>
        <w:rPr>
          <w:rFonts w:asciiTheme="minorHAnsi" w:hAnsiTheme="minorHAnsi"/>
          <w:sz w:val="24"/>
          <w:szCs w:val="24"/>
        </w:rPr>
        <w:t>smí bez souhlasu P</w:t>
      </w:r>
      <w:r w:rsidRPr="0018615A">
        <w:rPr>
          <w:rFonts w:asciiTheme="minorHAnsi" w:hAnsiTheme="minorHAnsi"/>
          <w:sz w:val="24"/>
          <w:szCs w:val="24"/>
        </w:rPr>
        <w:t xml:space="preserve">ropachtovatele </w:t>
      </w:r>
      <w:r>
        <w:rPr>
          <w:rFonts w:asciiTheme="minorHAnsi" w:hAnsiTheme="minorHAnsi"/>
          <w:sz w:val="24"/>
          <w:szCs w:val="24"/>
        </w:rPr>
        <w:t>Předmět zemědělského pachtu</w:t>
      </w:r>
      <w:r w:rsidRPr="0018615A">
        <w:rPr>
          <w:rFonts w:asciiTheme="minorHAnsi" w:hAnsiTheme="minorHAnsi"/>
          <w:sz w:val="24"/>
          <w:szCs w:val="24"/>
        </w:rPr>
        <w:t xml:space="preserve"> propachtovat nebo přenechat k užívání třetí </w:t>
      </w:r>
      <w:r>
        <w:rPr>
          <w:rFonts w:asciiTheme="minorHAnsi" w:hAnsiTheme="minorHAnsi"/>
          <w:sz w:val="24"/>
          <w:szCs w:val="24"/>
        </w:rPr>
        <w:t>osobě. Pokud tak učiní, je povinen P</w:t>
      </w:r>
      <w:r w:rsidRPr="0018615A">
        <w:rPr>
          <w:rFonts w:asciiTheme="minorHAnsi" w:hAnsiTheme="minorHAnsi"/>
          <w:sz w:val="24"/>
          <w:szCs w:val="24"/>
        </w:rPr>
        <w:t>ropachtovate</w:t>
      </w:r>
      <w:r>
        <w:rPr>
          <w:rFonts w:asciiTheme="minorHAnsi" w:hAnsiTheme="minorHAnsi"/>
          <w:sz w:val="24"/>
          <w:szCs w:val="24"/>
        </w:rPr>
        <w:t>le o této skutečnosti</w:t>
      </w:r>
      <w:r w:rsidRPr="0018615A">
        <w:rPr>
          <w:rFonts w:asciiTheme="minorHAnsi" w:hAnsiTheme="minorHAnsi"/>
          <w:sz w:val="24"/>
          <w:szCs w:val="24"/>
        </w:rPr>
        <w:t xml:space="preserve"> písemně informovat nejpozději do 30 dnů</w:t>
      </w:r>
      <w:r w:rsidR="003B00DE" w:rsidRPr="00106478">
        <w:rPr>
          <w:rFonts w:asciiTheme="minorHAnsi" w:hAnsiTheme="minorHAnsi"/>
          <w:sz w:val="24"/>
          <w:szCs w:val="24"/>
        </w:rPr>
        <w:t>.</w:t>
      </w:r>
    </w:p>
    <w:p w14:paraId="5BC89BB8" w14:textId="05A938CB" w:rsidR="00AF48AE" w:rsidRDefault="00AF48AE" w:rsidP="00186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F48AE">
        <w:rPr>
          <w:rFonts w:asciiTheme="minorHAnsi" w:hAnsiTheme="minorHAnsi"/>
          <w:sz w:val="24"/>
          <w:szCs w:val="24"/>
        </w:rPr>
        <w:t xml:space="preserve">Pachtýř je povinen pečovat o meliorační zařízení, jsou-li na propachtovaných </w:t>
      </w:r>
      <w:r w:rsidR="0018615A">
        <w:rPr>
          <w:rFonts w:asciiTheme="minorHAnsi" w:hAnsiTheme="minorHAnsi"/>
          <w:sz w:val="24"/>
          <w:szCs w:val="24"/>
        </w:rPr>
        <w:t>P</w:t>
      </w:r>
      <w:r w:rsidRPr="00AF48AE">
        <w:rPr>
          <w:rFonts w:asciiTheme="minorHAnsi" w:hAnsiTheme="minorHAnsi"/>
          <w:sz w:val="24"/>
          <w:szCs w:val="24"/>
        </w:rPr>
        <w:t>ozemcích umístěna</w:t>
      </w:r>
      <w:r>
        <w:rPr>
          <w:rFonts w:asciiTheme="minorHAnsi" w:hAnsiTheme="minorHAnsi"/>
          <w:sz w:val="24"/>
          <w:szCs w:val="24"/>
        </w:rPr>
        <w:t>.</w:t>
      </w:r>
    </w:p>
    <w:p w14:paraId="4A9AE58E" w14:textId="77777777" w:rsidR="00AF48AE" w:rsidRDefault="00AF48AE" w:rsidP="00186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F48AE">
        <w:rPr>
          <w:rFonts w:asciiTheme="minorHAnsi" w:hAnsiTheme="minorHAnsi"/>
          <w:sz w:val="24"/>
          <w:szCs w:val="24"/>
        </w:rPr>
        <w:t>Pachtýř je povinen při provozování rostl</w:t>
      </w:r>
      <w:r>
        <w:rPr>
          <w:rFonts w:asciiTheme="minorHAnsi" w:hAnsiTheme="minorHAnsi"/>
          <w:sz w:val="24"/>
          <w:szCs w:val="24"/>
        </w:rPr>
        <w:t>inné výroby na propachtovaných P</w:t>
      </w:r>
      <w:r w:rsidRPr="00AF48AE">
        <w:rPr>
          <w:rFonts w:asciiTheme="minorHAnsi" w:hAnsiTheme="minorHAnsi"/>
          <w:sz w:val="24"/>
          <w:szCs w:val="24"/>
        </w:rPr>
        <w:t>ozemcích dodržovat veškeré relevantní povinnosti plynoucí z platného práva České republiky a Evropské unie, zejména povinnosti týkající se zemědělské výroby, ochrany zemědělského půdního fondu a životního prostředí</w:t>
      </w:r>
      <w:r>
        <w:rPr>
          <w:rFonts w:asciiTheme="minorHAnsi" w:hAnsiTheme="minorHAnsi"/>
          <w:sz w:val="24"/>
          <w:szCs w:val="24"/>
        </w:rPr>
        <w:t>.</w:t>
      </w:r>
    </w:p>
    <w:p w14:paraId="4FF2BE76" w14:textId="58181E8F" w:rsidR="00AF48AE" w:rsidRDefault="00AF48AE" w:rsidP="00186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Pachtýř je povinen umožnit P</w:t>
      </w:r>
      <w:r w:rsidRPr="00AF48AE">
        <w:rPr>
          <w:rFonts w:asciiTheme="minorHAnsi" w:hAnsiTheme="minorHAnsi"/>
          <w:sz w:val="24"/>
          <w:szCs w:val="24"/>
        </w:rPr>
        <w:t>ropachtovateli průběžnou kontrolu</w:t>
      </w:r>
      <w:r>
        <w:rPr>
          <w:rFonts w:asciiTheme="minorHAnsi" w:hAnsiTheme="minorHAnsi"/>
          <w:sz w:val="24"/>
          <w:szCs w:val="24"/>
        </w:rPr>
        <w:t xml:space="preserve"> stavu propachtovaných </w:t>
      </w:r>
      <w:r w:rsidR="0041224E">
        <w:rPr>
          <w:rFonts w:asciiTheme="minorHAnsi" w:hAnsiTheme="minorHAnsi"/>
          <w:sz w:val="24"/>
          <w:szCs w:val="24"/>
        </w:rPr>
        <w:t>P</w:t>
      </w:r>
      <w:r w:rsidR="0041224E" w:rsidRPr="00AF48AE">
        <w:rPr>
          <w:rFonts w:asciiTheme="minorHAnsi" w:hAnsiTheme="minorHAnsi"/>
          <w:sz w:val="24"/>
          <w:szCs w:val="24"/>
        </w:rPr>
        <w:t>ozemků,</w:t>
      </w:r>
      <w:r w:rsidRPr="00AF48AE">
        <w:rPr>
          <w:rFonts w:asciiTheme="minorHAnsi" w:hAnsiTheme="minorHAnsi"/>
          <w:sz w:val="24"/>
          <w:szCs w:val="24"/>
        </w:rPr>
        <w:t xml:space="preserve"> a to jednak vstupem na </w:t>
      </w:r>
      <w:r>
        <w:rPr>
          <w:rFonts w:asciiTheme="minorHAnsi" w:hAnsiTheme="minorHAnsi"/>
          <w:sz w:val="24"/>
          <w:szCs w:val="24"/>
        </w:rPr>
        <w:t>P</w:t>
      </w:r>
      <w:r w:rsidRPr="00AF48AE">
        <w:rPr>
          <w:rFonts w:asciiTheme="minorHAnsi" w:hAnsiTheme="minorHAnsi"/>
          <w:sz w:val="24"/>
          <w:szCs w:val="24"/>
        </w:rPr>
        <w:t>ozemky, a jednak také formou poskytnutí dokumentace za posledních 5 let o osevech, hnojení, AZZP a dalších lab</w:t>
      </w:r>
      <w:r>
        <w:rPr>
          <w:rFonts w:asciiTheme="minorHAnsi" w:hAnsiTheme="minorHAnsi"/>
          <w:sz w:val="24"/>
          <w:szCs w:val="24"/>
        </w:rPr>
        <w:t>oratorních rozborech, které má P</w:t>
      </w:r>
      <w:r w:rsidRPr="00AF48AE">
        <w:rPr>
          <w:rFonts w:asciiTheme="minorHAnsi" w:hAnsiTheme="minorHAnsi"/>
          <w:sz w:val="24"/>
          <w:szCs w:val="24"/>
        </w:rPr>
        <w:t>achtýř k</w:t>
      </w:r>
      <w:r w:rsidR="0041224E">
        <w:rPr>
          <w:rFonts w:asciiTheme="minorHAnsi" w:hAnsiTheme="minorHAnsi"/>
          <w:sz w:val="24"/>
          <w:szCs w:val="24"/>
        </w:rPr>
        <w:t> </w:t>
      </w:r>
      <w:r w:rsidRPr="00AF48AE">
        <w:rPr>
          <w:rFonts w:asciiTheme="minorHAnsi" w:hAnsiTheme="minorHAnsi"/>
          <w:sz w:val="24"/>
          <w:szCs w:val="24"/>
        </w:rPr>
        <w:t>dispozici</w:t>
      </w:r>
      <w:r w:rsidR="0041224E">
        <w:rPr>
          <w:rFonts w:asciiTheme="minorHAnsi" w:hAnsiTheme="minorHAnsi"/>
          <w:sz w:val="24"/>
          <w:szCs w:val="24"/>
        </w:rPr>
        <w:t>.</w:t>
      </w:r>
    </w:p>
    <w:p w14:paraId="4E305485" w14:textId="77777777" w:rsidR="006D3016" w:rsidRDefault="006D3016" w:rsidP="006D3016">
      <w:pPr>
        <w:pStyle w:val="Zkladntext"/>
        <w:ind w:left="720"/>
        <w:rPr>
          <w:rFonts w:ascii="Calibri" w:hAnsi="Calibri"/>
        </w:rPr>
      </w:pPr>
    </w:p>
    <w:p w14:paraId="5285B7BB" w14:textId="438F7580" w:rsidR="006D3016" w:rsidRDefault="006D3016" w:rsidP="006D3016">
      <w:pPr>
        <w:pStyle w:val="Zkladntex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U pozemku </w:t>
      </w:r>
      <w:proofErr w:type="spellStart"/>
      <w:r>
        <w:rPr>
          <w:rFonts w:ascii="Calibri" w:hAnsi="Calibri"/>
        </w:rPr>
        <w:t>parc</w:t>
      </w:r>
      <w:proofErr w:type="spellEnd"/>
      <w:r>
        <w:rPr>
          <w:rFonts w:ascii="Calibri" w:hAnsi="Calibri"/>
        </w:rPr>
        <w:t xml:space="preserve">. č. </w:t>
      </w:r>
      <w:r w:rsidR="00227BD4">
        <w:rPr>
          <w:rFonts w:ascii="Calibri" w:hAnsi="Calibri"/>
        </w:rPr>
        <w:t xml:space="preserve">1231 a </w:t>
      </w:r>
      <w:r>
        <w:rPr>
          <w:rFonts w:ascii="Calibri" w:hAnsi="Calibri"/>
        </w:rPr>
        <w:t xml:space="preserve">1234, </w:t>
      </w:r>
      <w:proofErr w:type="spellStart"/>
      <w:proofErr w:type="gramStart"/>
      <w:r>
        <w:rPr>
          <w:rFonts w:ascii="Calibri" w:hAnsi="Calibri"/>
        </w:rPr>
        <w:t>k.ú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Netřebice u Nymburka, je povinností pachtýře posekat travní porost minimálně 2x ročně, </w:t>
      </w:r>
      <w:r w:rsidR="000A0CEA">
        <w:rPr>
          <w:rFonts w:ascii="Calibri" w:hAnsi="Calibri"/>
        </w:rPr>
        <w:t>a to dle klimatických podmínek</w:t>
      </w:r>
      <w:r>
        <w:rPr>
          <w:rFonts w:ascii="Calibri" w:hAnsi="Calibri"/>
        </w:rPr>
        <w:t>.</w:t>
      </w:r>
    </w:p>
    <w:p w14:paraId="74B63A39" w14:textId="77777777" w:rsidR="00541C51" w:rsidRDefault="00541C51" w:rsidP="00541C51">
      <w:pPr>
        <w:pStyle w:val="Zkladntext"/>
        <w:ind w:left="720"/>
        <w:rPr>
          <w:rFonts w:ascii="Calibri" w:hAnsi="Calibri"/>
        </w:rPr>
      </w:pPr>
    </w:p>
    <w:p w14:paraId="719B89A3" w14:textId="0DE4A382" w:rsidR="00DF19FA" w:rsidRDefault="00DF19FA" w:rsidP="006D3016">
      <w:pPr>
        <w:pStyle w:val="Zkladntex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Pachtýř je dále povinen Propachtovateli poskytnou </w:t>
      </w:r>
      <w:r w:rsidR="00863843" w:rsidRPr="00863843">
        <w:rPr>
          <w:rFonts w:ascii="Calibri" w:hAnsi="Calibri"/>
        </w:rPr>
        <w:t>součinnost v rozsahu 20hodin ročně při využívání zemědělské techniky (nahrnování kójí s bioodpadem, sekání podél polních cest, zimní údržba atp.), a to bezplatně, resp. za možnost propachtování výše uvedených pozemků</w:t>
      </w:r>
      <w:r w:rsidR="00863843">
        <w:rPr>
          <w:rFonts w:ascii="Calibri" w:hAnsi="Calibri"/>
        </w:rPr>
        <w:t>.</w:t>
      </w:r>
    </w:p>
    <w:p w14:paraId="56E014C8" w14:textId="77777777" w:rsidR="00541C51" w:rsidRDefault="00541C51" w:rsidP="00541C51">
      <w:pPr>
        <w:pStyle w:val="Zkladntext"/>
        <w:ind w:left="720"/>
        <w:rPr>
          <w:rFonts w:ascii="Calibri" w:hAnsi="Calibri"/>
        </w:rPr>
      </w:pPr>
    </w:p>
    <w:p w14:paraId="17615D03" w14:textId="73712688" w:rsidR="00541C51" w:rsidRDefault="00541C51" w:rsidP="006D3016">
      <w:pPr>
        <w:pStyle w:val="Zkladntex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Pachtýř bere na vědomí, </w:t>
      </w:r>
      <w:r w:rsidRPr="00541C51">
        <w:rPr>
          <w:rFonts w:ascii="Calibri" w:hAnsi="Calibri"/>
        </w:rPr>
        <w:t xml:space="preserve">že u pozemku </w:t>
      </w:r>
      <w:proofErr w:type="spellStart"/>
      <w:r w:rsidRPr="00541C51">
        <w:rPr>
          <w:rFonts w:ascii="Calibri" w:hAnsi="Calibri"/>
        </w:rPr>
        <w:t>parc</w:t>
      </w:r>
      <w:proofErr w:type="spellEnd"/>
      <w:r w:rsidRPr="00541C51">
        <w:rPr>
          <w:rFonts w:ascii="Calibri" w:hAnsi="Calibri"/>
        </w:rPr>
        <w:t xml:space="preserve">. </w:t>
      </w:r>
      <w:proofErr w:type="gramStart"/>
      <w:r w:rsidRPr="00541C51">
        <w:rPr>
          <w:rFonts w:ascii="Calibri" w:hAnsi="Calibri"/>
        </w:rPr>
        <w:t>č.</w:t>
      </w:r>
      <w:proofErr w:type="gramEnd"/>
      <w:r w:rsidRPr="00541C51">
        <w:rPr>
          <w:rFonts w:ascii="Calibri" w:hAnsi="Calibri"/>
        </w:rPr>
        <w:t xml:space="preserve"> 1032 (předpokládaná plocha zastavění 87.000m2) je plánováno výstavba fotovoltaické elektrárny</w:t>
      </w:r>
      <w:r>
        <w:rPr>
          <w:rFonts w:ascii="Calibri" w:hAnsi="Calibri"/>
        </w:rPr>
        <w:t xml:space="preserve">. Po dobu přípravné fáze (cca 3 roky ode dne účinností této Smlouvy) do doby výstavby FVE je pachtýř povinen poskytovat součinnost Propachtovateli a zájemci o FVE, tj. </w:t>
      </w:r>
      <w:r w:rsidRPr="00541C51">
        <w:rPr>
          <w:rFonts w:ascii="Calibri" w:hAnsi="Calibri"/>
        </w:rPr>
        <w:t>zejm</w:t>
      </w:r>
      <w:r>
        <w:rPr>
          <w:rFonts w:ascii="Calibri" w:hAnsi="Calibri"/>
        </w:rPr>
        <w:t>éna</w:t>
      </w:r>
      <w:r w:rsidRPr="00541C51">
        <w:rPr>
          <w:rFonts w:ascii="Calibri" w:hAnsi="Calibri"/>
        </w:rPr>
        <w:t xml:space="preserve"> za účelem testování, provádění geologického průzkumu, provádění geodetických prací, vytyčení inženýrských sítí a provádění další činností zahrnujících přípravu Předmětu nájmu pro výstavbu FVE</w:t>
      </w:r>
      <w:r>
        <w:rPr>
          <w:rFonts w:ascii="Calibri" w:hAnsi="Calibri"/>
        </w:rPr>
        <w:t>.</w:t>
      </w:r>
    </w:p>
    <w:p w14:paraId="1DD52ED4" w14:textId="77777777" w:rsidR="00FF2E20" w:rsidRDefault="00FF2E20" w:rsidP="00FF2E20">
      <w:pPr>
        <w:pStyle w:val="Odstavecseseznamem"/>
      </w:pPr>
    </w:p>
    <w:p w14:paraId="7240A50C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Čl. VII. </w:t>
      </w:r>
    </w:p>
    <w:p w14:paraId="3508A775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>Zánik pachtu</w:t>
      </w:r>
    </w:p>
    <w:p w14:paraId="280D1523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18F0AD32" w14:textId="5EC7653A" w:rsidR="003B00DE" w:rsidRPr="00106478" w:rsidRDefault="003B00DE" w:rsidP="003B00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Pacht založený touto smlouvou zanikne kdykoli písemnou dohodou mezi Propachtovatelem a Pachtýřem nebo písemnou výpovědí některé ze stran z důvodů a za podmínek uvedených v této smlouvě</w:t>
      </w:r>
      <w:r w:rsidR="008D3040">
        <w:rPr>
          <w:rFonts w:asciiTheme="minorHAnsi" w:hAnsiTheme="minorHAnsi"/>
          <w:sz w:val="24"/>
          <w:szCs w:val="24"/>
        </w:rPr>
        <w:t>, či bez udání důvodů</w:t>
      </w:r>
      <w:r w:rsidRPr="00106478">
        <w:rPr>
          <w:rFonts w:asciiTheme="minorHAnsi" w:hAnsiTheme="minorHAnsi"/>
          <w:sz w:val="24"/>
          <w:szCs w:val="24"/>
        </w:rPr>
        <w:t xml:space="preserve">. </w:t>
      </w:r>
    </w:p>
    <w:p w14:paraId="64310398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Theme="minorHAnsi" w:hAnsiTheme="minorHAnsi"/>
          <w:sz w:val="24"/>
          <w:szCs w:val="24"/>
        </w:rPr>
      </w:pPr>
    </w:p>
    <w:p w14:paraId="4763D368" w14:textId="55D8B55B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Vypovědět lze pacht pouze ve </w:t>
      </w:r>
      <w:r w:rsidR="0041224E">
        <w:rPr>
          <w:rFonts w:asciiTheme="minorHAnsi" w:hAnsiTheme="minorHAnsi"/>
          <w:sz w:val="24"/>
          <w:szCs w:val="24"/>
        </w:rPr>
        <w:t>12</w:t>
      </w:r>
      <w:r w:rsidR="009F2F27">
        <w:rPr>
          <w:rFonts w:asciiTheme="minorHAnsi" w:hAnsiTheme="minorHAnsi"/>
          <w:sz w:val="24"/>
          <w:szCs w:val="24"/>
        </w:rPr>
        <w:t xml:space="preserve"> měsíční</w:t>
      </w:r>
      <w:r w:rsidRPr="00106478">
        <w:rPr>
          <w:rFonts w:asciiTheme="minorHAnsi" w:hAnsiTheme="minorHAnsi"/>
          <w:sz w:val="24"/>
          <w:szCs w:val="24"/>
        </w:rPr>
        <w:t xml:space="preserve"> výpovědní době tak, aby skončil ke konci pachtovního roku, tj. do 30. září </w:t>
      </w:r>
      <w:r w:rsidR="00A34F60">
        <w:rPr>
          <w:rFonts w:asciiTheme="minorHAnsi" w:hAnsiTheme="minorHAnsi"/>
          <w:sz w:val="24"/>
          <w:szCs w:val="24"/>
        </w:rPr>
        <w:t>příslušného</w:t>
      </w:r>
      <w:r w:rsidRPr="00106478">
        <w:rPr>
          <w:rFonts w:asciiTheme="minorHAnsi" w:hAnsiTheme="minorHAnsi"/>
          <w:sz w:val="24"/>
          <w:szCs w:val="24"/>
        </w:rPr>
        <w:t xml:space="preserve"> roku. Bez výpovědní doby lze vypovědět pacht pouze v případech, které stanoví tato smlouva. </w:t>
      </w:r>
    </w:p>
    <w:p w14:paraId="5BB219EA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A991DBE" w14:textId="77777777" w:rsidR="003B00DE" w:rsidRPr="00106478" w:rsidRDefault="003B00DE" w:rsidP="003B00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Propachtovatel je oprávněn vypovědět pacht bez výpovědní doby v případě, pokud Pachtýř </w:t>
      </w:r>
    </w:p>
    <w:p w14:paraId="3F16E5E7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C7EADA0" w14:textId="333C9BBD" w:rsidR="003B00DE" w:rsidRPr="00106478" w:rsidRDefault="003B00DE" w:rsidP="003B00D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užívá či požívá Předmět zemědělského pachtu k jinému než ujednanému úče</w:t>
      </w:r>
      <w:r w:rsidR="0018615A">
        <w:rPr>
          <w:rFonts w:asciiTheme="minorHAnsi" w:hAnsiTheme="minorHAnsi"/>
          <w:sz w:val="24"/>
          <w:szCs w:val="24"/>
        </w:rPr>
        <w:t>lu dle čl. II. odst. 1. Smlouvy;</w:t>
      </w:r>
    </w:p>
    <w:p w14:paraId="52D7C3BE" w14:textId="305A54F0" w:rsidR="003B00DE" w:rsidRPr="00106478" w:rsidRDefault="003B00DE" w:rsidP="003B00D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užívá či požívá Předmět zemědělského pachtu v rozporu s</w:t>
      </w:r>
      <w:r w:rsidR="0018615A">
        <w:rPr>
          <w:rFonts w:asciiTheme="minorHAnsi" w:hAnsiTheme="minorHAnsi"/>
          <w:sz w:val="24"/>
          <w:szCs w:val="24"/>
        </w:rPr>
        <w:t xml:space="preserve"> povinnostmi řádného hospodáře;</w:t>
      </w:r>
    </w:p>
    <w:p w14:paraId="3A7D2A2A" w14:textId="0A0B29E5" w:rsidR="003B00DE" w:rsidRPr="00106478" w:rsidRDefault="003B00DE" w:rsidP="003B00D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nezaplatil pachtovné ani do</w:t>
      </w:r>
      <w:r w:rsidR="0018615A">
        <w:rPr>
          <w:rFonts w:asciiTheme="minorHAnsi" w:hAnsiTheme="minorHAnsi"/>
          <w:sz w:val="24"/>
          <w:szCs w:val="24"/>
        </w:rPr>
        <w:t xml:space="preserve"> tří měsíců od jeho splatnosti;</w:t>
      </w:r>
    </w:p>
    <w:p w14:paraId="6EC75470" w14:textId="55532BD1" w:rsidR="003B00DE" w:rsidRPr="00106478" w:rsidRDefault="003B00DE" w:rsidP="003B00D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propachtuje Předmět zemědělského pachtu nebo jej přenechá k užívání jinému </w:t>
      </w:r>
      <w:r w:rsidR="0018615A">
        <w:rPr>
          <w:rFonts w:asciiTheme="minorHAnsi" w:hAnsiTheme="minorHAnsi"/>
          <w:sz w:val="24"/>
          <w:szCs w:val="24"/>
        </w:rPr>
        <w:t>bez informování Propachtovatele dle ustanovení čl. VI. odst. 6;</w:t>
      </w:r>
    </w:p>
    <w:p w14:paraId="6FFF3BF4" w14:textId="03220D30" w:rsidR="003B00DE" w:rsidRDefault="003B00DE" w:rsidP="003B00D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změní-li hospodářské určení Předmětu zemědělského pachtu nebo způsob jeho užívání či požívání bez předchozího píse</w:t>
      </w:r>
      <w:r w:rsidR="0018615A">
        <w:rPr>
          <w:rFonts w:asciiTheme="minorHAnsi" w:hAnsiTheme="minorHAnsi"/>
          <w:sz w:val="24"/>
          <w:szCs w:val="24"/>
        </w:rPr>
        <w:t>mného souhlasu Propachtovatele;</w:t>
      </w:r>
      <w:r w:rsidR="0041224E">
        <w:rPr>
          <w:rFonts w:asciiTheme="minorHAnsi" w:hAnsiTheme="minorHAnsi"/>
          <w:sz w:val="24"/>
          <w:szCs w:val="24"/>
        </w:rPr>
        <w:t xml:space="preserve"> a</w:t>
      </w:r>
    </w:p>
    <w:p w14:paraId="2CF8BB7F" w14:textId="4AFDF58D" w:rsidR="0018615A" w:rsidRPr="00106478" w:rsidRDefault="0018615A" w:rsidP="003B00D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Neumožní Propachtovateli průběžnou kontrolu dle ustanovení čl. VI odst. 9</w:t>
      </w:r>
    </w:p>
    <w:p w14:paraId="3901A48C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1E00E95" w14:textId="54A9A7C1" w:rsidR="003B00DE" w:rsidRDefault="003B00DE" w:rsidP="003B00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Při zániku pachtu je Pachtýř povinen Předmět zemědělského pachtu vyklidit, a to </w:t>
      </w:r>
      <w:proofErr w:type="gramStart"/>
      <w:r w:rsidRPr="00106478">
        <w:rPr>
          <w:rFonts w:asciiTheme="minorHAnsi" w:hAnsiTheme="minorHAnsi"/>
          <w:sz w:val="24"/>
          <w:szCs w:val="24"/>
        </w:rPr>
        <w:t>do</w:t>
      </w:r>
      <w:proofErr w:type="gramEnd"/>
      <w:r w:rsidRPr="00106478">
        <w:rPr>
          <w:rFonts w:asciiTheme="minorHAnsi" w:hAnsiTheme="minorHAnsi"/>
          <w:sz w:val="24"/>
          <w:szCs w:val="24"/>
        </w:rPr>
        <w:t xml:space="preserve"> </w:t>
      </w:r>
      <w:r w:rsidR="00A34F60">
        <w:rPr>
          <w:rFonts w:asciiTheme="minorHAnsi" w:hAnsiTheme="minorHAnsi"/>
          <w:sz w:val="24"/>
          <w:szCs w:val="24"/>
        </w:rPr>
        <w:t>15 dnů</w:t>
      </w:r>
      <w:r w:rsidRPr="00106478">
        <w:rPr>
          <w:rFonts w:asciiTheme="minorHAnsi" w:hAnsiTheme="minorHAnsi"/>
          <w:sz w:val="24"/>
          <w:szCs w:val="24"/>
        </w:rPr>
        <w:t xml:space="preserve"> ode dne zániku pachtu, a předat ho Propachtovateli ve stavu, v jakém ho převzal, nehledě na běžné opotřebení při běžném užívání, na vady, které je po</w:t>
      </w:r>
      <w:r w:rsidR="008C68C2">
        <w:rPr>
          <w:rFonts w:asciiTheme="minorHAnsi" w:hAnsiTheme="minorHAnsi"/>
          <w:sz w:val="24"/>
          <w:szCs w:val="24"/>
        </w:rPr>
        <w:t>vinen odstranit Propachtovatel.</w:t>
      </w:r>
    </w:p>
    <w:p w14:paraId="29DB0B8F" w14:textId="77777777" w:rsidR="00863843" w:rsidRDefault="00863843" w:rsidP="008638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0B9566EA" w14:textId="6AB61A51" w:rsidR="00863843" w:rsidRDefault="00863843" w:rsidP="003B00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Pachtýř bere na vědomí, že </w:t>
      </w:r>
      <w:r w:rsidRPr="00863843">
        <w:rPr>
          <w:sz w:val="24"/>
          <w:szCs w:val="24"/>
        </w:rPr>
        <w:t xml:space="preserve">u pozemku </w:t>
      </w:r>
      <w:proofErr w:type="spellStart"/>
      <w:r w:rsidRPr="00863843">
        <w:rPr>
          <w:sz w:val="24"/>
          <w:szCs w:val="24"/>
        </w:rPr>
        <w:t>parc</w:t>
      </w:r>
      <w:proofErr w:type="spellEnd"/>
      <w:r w:rsidRPr="00863843">
        <w:rPr>
          <w:sz w:val="24"/>
          <w:szCs w:val="24"/>
        </w:rPr>
        <w:t xml:space="preserve">. </w:t>
      </w:r>
      <w:proofErr w:type="gramStart"/>
      <w:r w:rsidRPr="00863843">
        <w:rPr>
          <w:sz w:val="24"/>
          <w:szCs w:val="24"/>
        </w:rPr>
        <w:t>č.</w:t>
      </w:r>
      <w:proofErr w:type="gramEnd"/>
      <w:r w:rsidRPr="00863843">
        <w:rPr>
          <w:sz w:val="24"/>
          <w:szCs w:val="24"/>
        </w:rPr>
        <w:t xml:space="preserve"> 1032 (předpokládaná plocha zastavění 87.000m</w:t>
      </w:r>
      <w:r w:rsidRPr="00863843">
        <w:rPr>
          <w:sz w:val="24"/>
          <w:szCs w:val="24"/>
          <w:vertAlign w:val="superscript"/>
        </w:rPr>
        <w:t>2</w:t>
      </w:r>
      <w:r w:rsidRPr="00863843">
        <w:rPr>
          <w:sz w:val="24"/>
          <w:szCs w:val="24"/>
        </w:rPr>
        <w:t xml:space="preserve">) je plánováno výstavba fotovoltaické elektrárny. Smlouva s dodavatelem FVE bude upravovat smluvní vztah s tím, že </w:t>
      </w:r>
      <w:r>
        <w:rPr>
          <w:sz w:val="24"/>
          <w:szCs w:val="24"/>
        </w:rPr>
        <w:t>Propachtovatel</w:t>
      </w:r>
      <w:r w:rsidRPr="00863843">
        <w:rPr>
          <w:sz w:val="24"/>
          <w:szCs w:val="24"/>
        </w:rPr>
        <w:t xml:space="preserve"> bude oprávněn ukončit pach</w:t>
      </w:r>
      <w:r>
        <w:rPr>
          <w:sz w:val="24"/>
          <w:szCs w:val="24"/>
        </w:rPr>
        <w:t>t</w:t>
      </w:r>
      <w:r w:rsidRPr="00863843">
        <w:rPr>
          <w:sz w:val="24"/>
          <w:szCs w:val="24"/>
        </w:rPr>
        <w:t xml:space="preserve"> pozemku </w:t>
      </w:r>
      <w:proofErr w:type="spellStart"/>
      <w:r w:rsidRPr="00863843">
        <w:rPr>
          <w:sz w:val="24"/>
          <w:szCs w:val="24"/>
        </w:rPr>
        <w:t>parc</w:t>
      </w:r>
      <w:proofErr w:type="spellEnd"/>
      <w:r w:rsidRPr="00863843">
        <w:rPr>
          <w:sz w:val="24"/>
          <w:szCs w:val="24"/>
        </w:rPr>
        <w:t xml:space="preserve">. </w:t>
      </w:r>
      <w:proofErr w:type="gramStart"/>
      <w:r w:rsidRPr="00863843">
        <w:rPr>
          <w:sz w:val="24"/>
          <w:szCs w:val="24"/>
        </w:rPr>
        <w:t>č.</w:t>
      </w:r>
      <w:proofErr w:type="gramEnd"/>
      <w:r w:rsidRPr="00863843">
        <w:rPr>
          <w:sz w:val="24"/>
          <w:szCs w:val="24"/>
        </w:rPr>
        <w:t xml:space="preserve"> 1032 vždy ke konci pachtovního roku (tj. do 30. 9.), a to dle požadavků dodavatele FVE.</w:t>
      </w:r>
      <w:r>
        <w:rPr>
          <w:sz w:val="24"/>
          <w:szCs w:val="24"/>
        </w:rPr>
        <w:t xml:space="preserve"> U daného pozemku není tedy nutné dodržet výše uvedenou výpovědní lhůty, kdy pacht skončí dle výzvy Propachtovatele vždy k 30. 9.</w:t>
      </w:r>
      <w:r w:rsidRPr="00863843">
        <w:rPr>
          <w:sz w:val="24"/>
          <w:szCs w:val="24"/>
        </w:rPr>
        <w:t xml:space="preserve"> </w:t>
      </w:r>
      <w:r w:rsidR="001B32BD">
        <w:rPr>
          <w:sz w:val="24"/>
          <w:szCs w:val="24"/>
        </w:rPr>
        <w:t xml:space="preserve">(předpokládá lhůta pro oznámení výstavby je nejpozději do 30. 5. daného roku). </w:t>
      </w:r>
      <w:r w:rsidRPr="00863843">
        <w:rPr>
          <w:sz w:val="24"/>
          <w:szCs w:val="24"/>
        </w:rPr>
        <w:t xml:space="preserve">Nevyužitá část pozemku </w:t>
      </w:r>
      <w:proofErr w:type="spellStart"/>
      <w:r w:rsidRPr="00863843">
        <w:rPr>
          <w:sz w:val="24"/>
          <w:szCs w:val="24"/>
        </w:rPr>
        <w:t>parc</w:t>
      </w:r>
      <w:proofErr w:type="spellEnd"/>
      <w:r w:rsidRPr="00863843">
        <w:rPr>
          <w:sz w:val="24"/>
          <w:szCs w:val="24"/>
        </w:rPr>
        <w:t xml:space="preserve">. </w:t>
      </w:r>
      <w:proofErr w:type="gramStart"/>
      <w:r w:rsidRPr="00863843">
        <w:rPr>
          <w:sz w:val="24"/>
          <w:szCs w:val="24"/>
        </w:rPr>
        <w:t>č.</w:t>
      </w:r>
      <w:proofErr w:type="gramEnd"/>
      <w:r w:rsidRPr="00863843">
        <w:rPr>
          <w:sz w:val="24"/>
          <w:szCs w:val="24"/>
        </w:rPr>
        <w:t xml:space="preserve"> 1032 pro FVE by dále zůstala v pachtu </w:t>
      </w:r>
      <w:r>
        <w:rPr>
          <w:sz w:val="24"/>
          <w:szCs w:val="24"/>
        </w:rPr>
        <w:t>Pachtýře.</w:t>
      </w:r>
    </w:p>
    <w:p w14:paraId="6B9C4F48" w14:textId="77777777" w:rsidR="002722CA" w:rsidRDefault="002722CA" w:rsidP="002722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6C6606C6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Čl. VIII. </w:t>
      </w:r>
    </w:p>
    <w:p w14:paraId="211EC8AD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06478">
        <w:rPr>
          <w:rFonts w:asciiTheme="minorHAnsi" w:hAnsiTheme="minorHAnsi"/>
          <w:b/>
          <w:bCs/>
          <w:sz w:val="24"/>
          <w:szCs w:val="24"/>
        </w:rPr>
        <w:t xml:space="preserve">Závěrečná ustanovení </w:t>
      </w:r>
    </w:p>
    <w:p w14:paraId="35055A4F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29664ACA" w14:textId="75F0F666" w:rsidR="003B00DE" w:rsidRPr="00106478" w:rsidRDefault="003B00DE" w:rsidP="003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Záměr pachtu Pozemku specifikovaného v čl. I byl zveřejněn po dobu 15 dnů na úřední desce obce, a byl schválen usnesením zastupitelstva obce </w:t>
      </w:r>
      <w:r w:rsidR="0041224E">
        <w:rPr>
          <w:rFonts w:asciiTheme="minorHAnsi" w:hAnsiTheme="minorHAnsi"/>
          <w:sz w:val="24"/>
          <w:szCs w:val="24"/>
        </w:rPr>
        <w:t>Netřebice</w:t>
      </w:r>
      <w:r w:rsidRPr="00106478">
        <w:rPr>
          <w:rFonts w:asciiTheme="minorHAnsi" w:hAnsiTheme="minorHAnsi"/>
          <w:sz w:val="24"/>
          <w:szCs w:val="24"/>
        </w:rPr>
        <w:t xml:space="preserve"> </w:t>
      </w:r>
      <w:r w:rsidR="00DC3A08" w:rsidRPr="00106478">
        <w:rPr>
          <w:rFonts w:asciiTheme="minorHAnsi" w:hAnsiTheme="minorHAnsi"/>
          <w:sz w:val="24"/>
          <w:szCs w:val="24"/>
        </w:rPr>
        <w:t xml:space="preserve">č. </w:t>
      </w:r>
      <w:r w:rsidR="00B2081A">
        <w:rPr>
          <w:rFonts w:asciiTheme="minorHAnsi" w:hAnsiTheme="minorHAnsi"/>
          <w:sz w:val="24"/>
          <w:szCs w:val="24"/>
        </w:rPr>
        <w:t>[</w:t>
      </w:r>
      <w:r w:rsidR="00B2081A" w:rsidRPr="00B2081A">
        <w:rPr>
          <w:rFonts w:asciiTheme="minorHAnsi" w:hAnsiTheme="minorHAnsi"/>
          <w:sz w:val="24"/>
          <w:szCs w:val="24"/>
          <w:highlight w:val="yellow"/>
        </w:rPr>
        <w:t>bude doplněno</w:t>
      </w:r>
      <w:r w:rsidR="00B2081A">
        <w:rPr>
          <w:rFonts w:asciiTheme="minorHAnsi" w:hAnsiTheme="minorHAnsi"/>
          <w:sz w:val="24"/>
          <w:szCs w:val="24"/>
        </w:rPr>
        <w:t>]</w:t>
      </w:r>
      <w:r w:rsidRPr="00106478">
        <w:rPr>
          <w:rFonts w:asciiTheme="minorHAnsi" w:hAnsiTheme="minorHAnsi"/>
          <w:sz w:val="24"/>
          <w:szCs w:val="24"/>
        </w:rPr>
        <w:t>, na veřejném zasedání obecního zastup</w:t>
      </w:r>
      <w:r w:rsidR="00D431C4" w:rsidRPr="00106478">
        <w:rPr>
          <w:rFonts w:asciiTheme="minorHAnsi" w:hAnsiTheme="minorHAnsi"/>
          <w:sz w:val="24"/>
          <w:szCs w:val="24"/>
        </w:rPr>
        <w:t>i</w:t>
      </w:r>
      <w:r w:rsidR="00DC3A08" w:rsidRPr="00106478">
        <w:rPr>
          <w:rFonts w:asciiTheme="minorHAnsi" w:hAnsiTheme="minorHAnsi"/>
          <w:sz w:val="24"/>
          <w:szCs w:val="24"/>
        </w:rPr>
        <w:t xml:space="preserve">telstva obce </w:t>
      </w:r>
      <w:r w:rsidR="0041224E">
        <w:rPr>
          <w:rFonts w:asciiTheme="minorHAnsi" w:hAnsiTheme="minorHAnsi"/>
          <w:sz w:val="24"/>
          <w:szCs w:val="24"/>
        </w:rPr>
        <w:t>Netřebice</w:t>
      </w:r>
      <w:r w:rsidR="00DC3A08" w:rsidRPr="00106478">
        <w:rPr>
          <w:rFonts w:asciiTheme="minorHAnsi" w:hAnsiTheme="minorHAnsi"/>
          <w:sz w:val="24"/>
          <w:szCs w:val="24"/>
        </w:rPr>
        <w:t xml:space="preserve"> dne </w:t>
      </w:r>
      <w:r w:rsidR="00541C51">
        <w:rPr>
          <w:rFonts w:asciiTheme="minorHAnsi" w:hAnsiTheme="minorHAnsi"/>
          <w:sz w:val="24"/>
          <w:szCs w:val="24"/>
        </w:rPr>
        <w:t>19. 1. 2022</w:t>
      </w:r>
      <w:r w:rsidR="002722CA">
        <w:rPr>
          <w:rFonts w:asciiTheme="minorHAnsi" w:hAnsiTheme="minorHAnsi"/>
          <w:sz w:val="24"/>
          <w:szCs w:val="24"/>
        </w:rPr>
        <w:t>.</w:t>
      </w:r>
    </w:p>
    <w:p w14:paraId="544FE2CD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7BCADE3" w14:textId="77777777" w:rsidR="003B00DE" w:rsidRPr="00106478" w:rsidRDefault="003B00DE" w:rsidP="003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Práva a povinnosti v této smlouvě výslovně neupravené se řídí právem České republiky, zejména ustanoveními občanského zákoníku. </w:t>
      </w:r>
    </w:p>
    <w:p w14:paraId="3C67A805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FA59763" w14:textId="77777777" w:rsidR="003B00DE" w:rsidRPr="00106478" w:rsidRDefault="003B00DE" w:rsidP="003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Tato smlouva je vypracována ve dvou stejnopisech, z nichž každý má platnost originálu. Každé smluvní straně náleží jeden stejnopis. </w:t>
      </w:r>
    </w:p>
    <w:p w14:paraId="3EADAD6C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E2D6D6" w14:textId="77777777" w:rsidR="003B00DE" w:rsidRPr="00106478" w:rsidRDefault="003B00DE" w:rsidP="003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lastRenderedPageBreak/>
        <w:t xml:space="preserve">Tuto smlouvu je možno měnit pouze formou číslovaných písemných dodatků odsouhlasených oběma smluvními stranami. </w:t>
      </w:r>
    </w:p>
    <w:p w14:paraId="445897F9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5CB0932" w14:textId="77777777" w:rsidR="003B00DE" w:rsidRPr="00106478" w:rsidRDefault="003B00DE" w:rsidP="003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Smluvní strany se dohodly, že pachtovní právo sjednané dle této smlouvy zapisovat do veřejného seznamu vedeného příslušným katastrem nemovitostí nebudou. </w:t>
      </w:r>
    </w:p>
    <w:p w14:paraId="292C7F8F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B2653DD" w14:textId="77777777" w:rsidR="003B00DE" w:rsidRPr="00106478" w:rsidRDefault="003B00DE" w:rsidP="003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 xml:space="preserve">Propachtovatel a Pachtýř shodně prohlašují, že si tuto smlouvu před jejím podpisem přečetli, že byla uzavřena po vzájemném projednání podle jejich pravé a svobodné vůle, určitě, vážně a srozumitelně, nikoliv v tísni a za nápadně nevýhodných podmínek. </w:t>
      </w:r>
    </w:p>
    <w:p w14:paraId="786C00A0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CA14393" w14:textId="23E065BA" w:rsidR="003B00DE" w:rsidRPr="00106478" w:rsidRDefault="002722CA" w:rsidP="003B00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41224E">
        <w:rPr>
          <w:rFonts w:asciiTheme="minorHAnsi" w:hAnsiTheme="minorHAnsi"/>
          <w:sz w:val="24"/>
          <w:szCs w:val="24"/>
        </w:rPr>
        <w:t> Netřebicích</w:t>
      </w:r>
      <w:r>
        <w:rPr>
          <w:rFonts w:asciiTheme="minorHAnsi" w:hAnsiTheme="minorHAnsi"/>
          <w:sz w:val="24"/>
          <w:szCs w:val="24"/>
        </w:rPr>
        <w:t xml:space="preserve"> dne __________________</w:t>
      </w:r>
      <w:r w:rsidR="003B00DE" w:rsidRPr="00106478">
        <w:rPr>
          <w:rFonts w:asciiTheme="minorHAnsi" w:hAnsiTheme="minorHAnsi"/>
          <w:sz w:val="24"/>
          <w:szCs w:val="24"/>
        </w:rPr>
        <w:t xml:space="preserve"> </w:t>
      </w:r>
    </w:p>
    <w:p w14:paraId="11AA3493" w14:textId="77777777" w:rsidR="003B00DE" w:rsidRPr="00106478" w:rsidRDefault="003B00DE" w:rsidP="003B00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AE3F24F" w14:textId="77777777" w:rsidR="003B00DE" w:rsidRPr="00106478" w:rsidRDefault="003B00DE" w:rsidP="003B00D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106478">
        <w:rPr>
          <w:rFonts w:asciiTheme="minorHAnsi" w:hAnsiTheme="minorHAnsi"/>
          <w:sz w:val="24"/>
          <w:szCs w:val="24"/>
        </w:rPr>
        <w:t>Za Propachtovatele:</w:t>
      </w:r>
      <w:r w:rsidRPr="00106478">
        <w:rPr>
          <w:rFonts w:asciiTheme="minorHAnsi" w:hAnsiTheme="minorHAnsi"/>
          <w:sz w:val="24"/>
          <w:szCs w:val="24"/>
        </w:rPr>
        <w:tab/>
      </w:r>
      <w:r w:rsidRPr="00106478">
        <w:rPr>
          <w:rFonts w:asciiTheme="minorHAnsi" w:hAnsiTheme="minorHAnsi"/>
          <w:sz w:val="24"/>
          <w:szCs w:val="24"/>
        </w:rPr>
        <w:tab/>
      </w:r>
      <w:r w:rsidRPr="00106478">
        <w:rPr>
          <w:rFonts w:asciiTheme="minorHAnsi" w:hAnsiTheme="minorHAnsi"/>
          <w:sz w:val="24"/>
          <w:szCs w:val="24"/>
        </w:rPr>
        <w:tab/>
      </w:r>
      <w:r w:rsidRPr="00106478">
        <w:rPr>
          <w:rFonts w:asciiTheme="minorHAnsi" w:hAnsiTheme="minorHAnsi"/>
          <w:sz w:val="24"/>
          <w:szCs w:val="24"/>
        </w:rPr>
        <w:tab/>
      </w:r>
      <w:r w:rsidRPr="00106478">
        <w:rPr>
          <w:rFonts w:asciiTheme="minorHAnsi" w:hAnsiTheme="minorHAnsi"/>
          <w:sz w:val="24"/>
          <w:szCs w:val="24"/>
        </w:rPr>
        <w:tab/>
      </w:r>
      <w:r w:rsidR="008424F5" w:rsidRPr="00106478">
        <w:rPr>
          <w:rFonts w:asciiTheme="minorHAnsi" w:hAnsiTheme="minorHAnsi"/>
          <w:sz w:val="24"/>
          <w:szCs w:val="24"/>
        </w:rPr>
        <w:t xml:space="preserve">Za </w:t>
      </w:r>
      <w:r w:rsidRPr="00106478">
        <w:rPr>
          <w:rFonts w:asciiTheme="minorHAnsi" w:hAnsiTheme="minorHAnsi"/>
          <w:sz w:val="24"/>
          <w:szCs w:val="24"/>
        </w:rPr>
        <w:t>Pachtýř</w:t>
      </w:r>
      <w:r w:rsidR="008424F5" w:rsidRPr="00106478">
        <w:rPr>
          <w:rFonts w:asciiTheme="minorHAnsi" w:hAnsiTheme="minorHAnsi"/>
          <w:sz w:val="24"/>
          <w:szCs w:val="24"/>
        </w:rPr>
        <w:t>e</w:t>
      </w:r>
      <w:r w:rsidRPr="00106478">
        <w:rPr>
          <w:rFonts w:asciiTheme="minorHAnsi" w:hAnsiTheme="minorHAnsi"/>
          <w:sz w:val="24"/>
          <w:szCs w:val="24"/>
        </w:rPr>
        <w:t>:</w:t>
      </w:r>
    </w:p>
    <w:p w14:paraId="55D39FDB" w14:textId="77777777" w:rsidR="003B00DE" w:rsidRPr="00106478" w:rsidRDefault="003B00DE" w:rsidP="003B00D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FE7ED1E" w14:textId="77777777" w:rsidR="003B00DE" w:rsidRDefault="003B00DE" w:rsidP="003B00D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6918D7C" w14:textId="77777777" w:rsidR="009F2F27" w:rsidRPr="00106478" w:rsidRDefault="009F2F27" w:rsidP="003B00DE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0706F7E" w14:textId="77777777" w:rsidR="0041224E" w:rsidRDefault="002722CA" w:rsidP="002722CA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  <w:r w:rsidR="003B00DE" w:rsidRPr="00106478">
        <w:rPr>
          <w:rFonts w:asciiTheme="minorHAnsi" w:hAnsiTheme="minorHAnsi"/>
          <w:sz w:val="24"/>
          <w:szCs w:val="24"/>
        </w:rPr>
        <w:tab/>
      </w:r>
      <w:r w:rsidR="003B00DE" w:rsidRPr="00106478">
        <w:rPr>
          <w:rFonts w:asciiTheme="minorHAnsi" w:hAnsiTheme="minorHAnsi"/>
          <w:sz w:val="24"/>
          <w:szCs w:val="24"/>
        </w:rPr>
        <w:tab/>
      </w:r>
      <w:r w:rsidR="003B00DE" w:rsidRPr="0010647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</w:t>
      </w:r>
    </w:p>
    <w:p w14:paraId="244120DC" w14:textId="5A7B823A" w:rsidR="003B00DE" w:rsidRDefault="0041224E" w:rsidP="002722CA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1224E">
        <w:rPr>
          <w:rFonts w:asciiTheme="minorHAnsi" w:hAnsiTheme="minorHAnsi"/>
          <w:b/>
          <w:sz w:val="24"/>
          <w:szCs w:val="24"/>
        </w:rPr>
        <w:t>Obec Netřebice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[</w:t>
      </w:r>
      <w:r w:rsidRPr="0041224E">
        <w:rPr>
          <w:rFonts w:asciiTheme="minorHAnsi" w:hAnsiTheme="minorHAnsi"/>
          <w:sz w:val="24"/>
          <w:szCs w:val="24"/>
          <w:highlight w:val="yellow"/>
        </w:rPr>
        <w:t>bude doplněno</w:t>
      </w:r>
      <w:r>
        <w:rPr>
          <w:rFonts w:asciiTheme="minorHAnsi" w:hAnsiTheme="minorHAnsi"/>
          <w:sz w:val="24"/>
          <w:szCs w:val="24"/>
        </w:rPr>
        <w:t>]</w:t>
      </w:r>
    </w:p>
    <w:p w14:paraId="4F3FC679" w14:textId="219E857F" w:rsidR="0041224E" w:rsidRPr="0041224E" w:rsidRDefault="0041224E" w:rsidP="002722CA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 w:rsidRPr="0041224E">
        <w:rPr>
          <w:rFonts w:asciiTheme="minorHAnsi" w:hAnsiTheme="minorHAnsi"/>
          <w:i/>
          <w:sz w:val="24"/>
          <w:szCs w:val="24"/>
        </w:rPr>
        <w:t>David Pinkas</w:t>
      </w:r>
    </w:p>
    <w:p w14:paraId="59741959" w14:textId="6959B37E" w:rsidR="0041224E" w:rsidRPr="0041224E" w:rsidRDefault="0041224E" w:rsidP="002722CA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 w:rsidRPr="0041224E">
        <w:rPr>
          <w:rFonts w:asciiTheme="minorHAnsi" w:hAnsiTheme="minorHAnsi"/>
          <w:i/>
          <w:sz w:val="24"/>
          <w:szCs w:val="24"/>
        </w:rPr>
        <w:t>Starosta</w:t>
      </w:r>
    </w:p>
    <w:sectPr w:rsidR="0041224E" w:rsidRPr="0041224E" w:rsidSect="0022119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C33"/>
    <w:multiLevelType w:val="hybridMultilevel"/>
    <w:tmpl w:val="8736B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BCEC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F8D"/>
    <w:multiLevelType w:val="hybridMultilevel"/>
    <w:tmpl w:val="53A2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7956"/>
    <w:multiLevelType w:val="hybridMultilevel"/>
    <w:tmpl w:val="5290C75A"/>
    <w:lvl w:ilvl="0" w:tplc="368C1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66A9"/>
    <w:multiLevelType w:val="hybridMultilevel"/>
    <w:tmpl w:val="8DB86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1462"/>
    <w:multiLevelType w:val="hybridMultilevel"/>
    <w:tmpl w:val="8368B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2DA7"/>
    <w:multiLevelType w:val="hybridMultilevel"/>
    <w:tmpl w:val="53963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BCEC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4063"/>
    <w:multiLevelType w:val="hybridMultilevel"/>
    <w:tmpl w:val="CABC1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416D"/>
    <w:multiLevelType w:val="hybridMultilevel"/>
    <w:tmpl w:val="FD181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D6D02"/>
    <w:multiLevelType w:val="hybridMultilevel"/>
    <w:tmpl w:val="176E4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439"/>
    <w:multiLevelType w:val="hybridMultilevel"/>
    <w:tmpl w:val="24CE3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570C1"/>
    <w:multiLevelType w:val="hybridMultilevel"/>
    <w:tmpl w:val="4CA8227C"/>
    <w:lvl w:ilvl="0" w:tplc="660C3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0545"/>
    <w:multiLevelType w:val="hybridMultilevel"/>
    <w:tmpl w:val="D26E7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5D48"/>
    <w:multiLevelType w:val="hybridMultilevel"/>
    <w:tmpl w:val="BE4AAFE4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E462A0E"/>
    <w:multiLevelType w:val="hybridMultilevel"/>
    <w:tmpl w:val="1B10A2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E"/>
    <w:rsid w:val="00010555"/>
    <w:rsid w:val="0006023B"/>
    <w:rsid w:val="000A0CEA"/>
    <w:rsid w:val="000D454C"/>
    <w:rsid w:val="00106478"/>
    <w:rsid w:val="0017377D"/>
    <w:rsid w:val="00173AE0"/>
    <w:rsid w:val="0018615A"/>
    <w:rsid w:val="001B32BD"/>
    <w:rsid w:val="001E38BB"/>
    <w:rsid w:val="00221193"/>
    <w:rsid w:val="00227BD4"/>
    <w:rsid w:val="00263B0E"/>
    <w:rsid w:val="002722CA"/>
    <w:rsid w:val="002E53B0"/>
    <w:rsid w:val="003B00DE"/>
    <w:rsid w:val="003B488D"/>
    <w:rsid w:val="0041224E"/>
    <w:rsid w:val="00432BA4"/>
    <w:rsid w:val="0046218A"/>
    <w:rsid w:val="00493AB2"/>
    <w:rsid w:val="004A4543"/>
    <w:rsid w:val="00532845"/>
    <w:rsid w:val="00541C51"/>
    <w:rsid w:val="006D3016"/>
    <w:rsid w:val="00762096"/>
    <w:rsid w:val="00796721"/>
    <w:rsid w:val="00797897"/>
    <w:rsid w:val="008424F5"/>
    <w:rsid w:val="00863843"/>
    <w:rsid w:val="0087742C"/>
    <w:rsid w:val="008C68C2"/>
    <w:rsid w:val="008D3040"/>
    <w:rsid w:val="008D4A6A"/>
    <w:rsid w:val="009207EF"/>
    <w:rsid w:val="00990711"/>
    <w:rsid w:val="009D7F16"/>
    <w:rsid w:val="009E3CBE"/>
    <w:rsid w:val="009F06A3"/>
    <w:rsid w:val="009F2F27"/>
    <w:rsid w:val="00A10E60"/>
    <w:rsid w:val="00A24B17"/>
    <w:rsid w:val="00A34F60"/>
    <w:rsid w:val="00AF08F1"/>
    <w:rsid w:val="00AF48AE"/>
    <w:rsid w:val="00B2081A"/>
    <w:rsid w:val="00B750DB"/>
    <w:rsid w:val="00BD7CCB"/>
    <w:rsid w:val="00C52030"/>
    <w:rsid w:val="00C82976"/>
    <w:rsid w:val="00C835DC"/>
    <w:rsid w:val="00D242D3"/>
    <w:rsid w:val="00D431C4"/>
    <w:rsid w:val="00DC3A08"/>
    <w:rsid w:val="00DF19FA"/>
    <w:rsid w:val="00E753A6"/>
    <w:rsid w:val="00F00FFE"/>
    <w:rsid w:val="00F155AB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0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F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2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2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2CA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2CA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C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41224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122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F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2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2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2CA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2CA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C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41224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122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1952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4</cp:revision>
  <cp:lastPrinted>2015-10-12T07:26:00Z</cp:lastPrinted>
  <dcterms:created xsi:type="dcterms:W3CDTF">2022-01-20T09:12:00Z</dcterms:created>
  <dcterms:modified xsi:type="dcterms:W3CDTF">2022-01-20T09:58:00Z</dcterms:modified>
</cp:coreProperties>
</file>